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5.jpg" ContentType="image/jpeg"/>
  <Override PartName="/word/media/rId41.png" ContentType="image/png"/>
  <Override PartName="/word/media/rId50.jpg" ContentType="image/jpeg"/>
  <Override PartName="/word/media/rId65.jpg" ContentType="image/jpeg"/>
  <Override PartName="/word/media/rId76.png" ContentType="image/png"/>
  <Override PartName="/word/media/rId83.png" ContentType="image/png"/>
  <Override PartName="/word/media/rId87.png" ContentType="image/png"/>
  <Override PartName="/word/media/rId106.png" ContentType="image/png"/>
  <Override PartName="/word/media/rId111.jpg" ContentType="image/jpeg"/>
  <Override PartName="/word/media/rId116.jpg" ContentType="image/jpeg"/>
  <Override PartName="/word/media/rId120.jpg" ContentType="image/jpeg"/>
  <Override PartName="/word/media/rId128.jpg" ContentType="image/jpeg"/>
  <Override PartName="/word/media/rId142.png" ContentType="image/png"/>
  <Override PartName="/word/media/rId146.png" ContentType="image/png"/>
  <Override PartName="/word/media/rId157.png" ContentType="image/png"/>
  <Override PartName="/word/media/rId162.jpg" ContentType="image/jpeg"/>
  <Override PartName="/word/media/rId166.jpg" ContentType="image/jpeg"/>
  <Override PartName="/word/media/rId170.jpg" ContentType="image/jpeg"/>
  <Override PartName="/word/media/rId174.png" ContentType="image/png"/>
  <Override PartName="/word/media/rId178.png" ContentType="image/png"/>
  <Override PartName="/word/media/rId183.png" ContentType="image/png"/>
  <Override PartName="/word/media/rId189.jpg" ContentType="image/jpeg"/>
  <Override PartName="/word/media/rId196.jpg" ContentType="image/jpeg"/>
  <Override PartName="/word/media/rId201.png" ContentType="image/png"/>
  <Override PartName="/word/media/rId205.png" ContentType="image/png"/>
  <Override PartName="/word/media/rId210.png" ContentType="image/png"/>
  <Override PartName="/word/media/rId216.jpg" ContentType="image/jpeg"/>
  <Override PartName="/word/media/rId224.png" ContentType="image/png"/>
  <Override PartName="/word/media/rId228.png" ContentType="image/png"/>
  <Override PartName="/word/media/rId233.png" ContentType="image/png"/>
  <Override PartName="/word/media/rId238.png" ContentType="image/png"/>
  <Override PartName="/word/media/rId2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13</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8"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
    <w:p>
      <w:pPr>
        <w:pStyle w:val="Heading2"/>
      </w:pPr>
      <w:r>
        <w:t xml:space="preserve">Publisher</w:t>
      </w:r>
    </w:p>
    <w:p>
      <w:pPr>
        <w:pStyle w:val="FirstParagraph"/>
      </w:pPr>
      <w:hyperlink r:id="rId24">
        <w:r>
          <w:rPr>
            <w:rStyle w:val="Hyperlink"/>
          </w:rPr>
          <w:t xml:space="preserve">Indiana University Libraries Publishing</w:t>
        </w:r>
      </w:hyperlink>
    </w:p>
    <w:bookmarkEnd w:id="25"/>
    <w:bookmarkStart w:id="27" w:name="how-to-cite"/>
    <w:p>
      <w:pPr>
        <w:pStyle w:val="Heading2"/>
      </w:pPr>
      <w:r>
        <w:t xml:space="preserve">How to Cite</w:t>
      </w:r>
    </w:p>
    <w:p>
      <w:pPr>
        <w:pStyle w:val="FirstParagraph"/>
      </w:pPr>
      <w:r>
        <w:t xml:space="preserve">Lively, C.M. (2023).</w:t>
      </w:r>
      <w:r>
        <w:t xml:space="preserve"> </w:t>
      </w:r>
      <w:hyperlink r:id="rId26">
        <w:r>
          <w:rPr>
            <w:rStyle w:val="Hyperlink"/>
            <w:iCs/>
            <w:i/>
          </w:rPr>
          <w:t xml:space="preserve">Through the Looking Glass: I. Why Cross-Fertilize?</w:t>
        </w:r>
      </w:hyperlink>
      <w:r>
        <w:t xml:space="preserve"> </w:t>
      </w:r>
      <w:r>
        <w:t xml:space="preserve">Indiana University Libraries Publishing, Bloomington.</w:t>
      </w:r>
    </w:p>
    <w:bookmarkEnd w:id="27"/>
    <w:bookmarkEnd w:id="28"/>
    <w:bookmarkStart w:id="64" w:name="sec-why-sex"/>
    <w:p>
      <w:pPr>
        <w:pStyle w:val="Heading1"/>
      </w:pPr>
      <w:r>
        <w:t xml:space="preserve">1. Why Sex?</w:t>
      </w:r>
    </w:p>
    <w:p>
      <w:pPr>
        <w:pStyle w:val="FirstParagraph"/>
      </w:pPr>
      <w:r>
        <w:drawing>
          <wp:inline>
            <wp:extent cx="2064280" cy="2608639"/>
            <wp:effectExtent b="0" l="0" r="0" t="0"/>
            <wp:docPr descr="" title="" id="30" name="Picture"/>
            <a:graphic>
              <a:graphicData uri="http://schemas.openxmlformats.org/drawingml/2006/picture">
                <pic:pic>
                  <pic:nvPicPr>
                    <pic:cNvPr descr="images/fig1-1.png" id="31" name="Picture"/>
                    <pic:cNvPicPr>
                      <a:picLocks noChangeArrowheads="1" noChangeAspect="1"/>
                    </pic:cNvPicPr>
                  </pic:nvPicPr>
                  <pic:blipFill>
                    <a:blip r:embed="rId29"/>
                    <a:stretch>
                      <a:fillRect/>
                    </a:stretch>
                  </pic:blipFill>
                  <pic:spPr bwMode="auto">
                    <a:xfrm>
                      <a:off x="0" y="0"/>
                      <a:ext cx="2064280" cy="2608639"/>
                    </a:xfrm>
                    <a:prstGeom prst="rect">
                      <a:avLst/>
                    </a:prstGeom>
                    <a:noFill/>
                    <a:ln w="9525">
                      <a:noFill/>
                      <a:headEnd/>
                      <a:tailEnd/>
                    </a:ln>
                  </pic:spPr>
                </pic:pic>
              </a:graphicData>
            </a:graphic>
          </wp:inline>
        </w:drawing>
      </w:r>
    </w:p>
    <w:bookmarkStart w:id="32"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2"/>
    <w:bookmarkStart w:id="59"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34"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33"/>
      </w:r>
      <w:r>
        <w:t xml:space="preserve"> </w:t>
      </w:r>
      <w:r>
        <w:t xml:space="preserve">(See</w:t>
      </w:r>
      <w:r>
        <w:t xml:space="preserve"> </w:t>
      </w:r>
      <w:hyperlink w:anchor="sec-glossary">
        <w:r>
          <w:rPr>
            <w:rStyle w:val="Hyperlink"/>
          </w:rPr>
          <w:t xml:space="preserve">Chapter 7</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34"/>
    <w:bookmarkStart w:id="40"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38" w:name="fig-1.1"/>
          <w:p>
            <w:pPr>
              <w:pStyle w:val="Compact"/>
              <w:jc w:val="center"/>
            </w:pPr>
            <w:r>
              <w:drawing>
                <wp:inline>
                  <wp:extent cx="3721608" cy="4559808"/>
                  <wp:effectExtent b="0" l="0" r="0" t="0"/>
                  <wp:docPr descr="" title="" id="36" name="Picture"/>
                  <a:graphic>
                    <a:graphicData uri="http://schemas.openxmlformats.org/drawingml/2006/picture">
                      <pic:pic>
                        <pic:nvPicPr>
                          <pic:cNvPr descr="images/fig1-2.jpg" id="37" name="Picture"/>
                          <pic:cNvPicPr>
                            <a:picLocks noChangeArrowheads="1" noChangeAspect="1"/>
                          </pic:cNvPicPr>
                        </pic:nvPicPr>
                        <pic:blipFill>
                          <a:blip r:embed="rId35"/>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38"/>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9"/>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0"/>
    <w:bookmarkStart w:id="47"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46" w:name="fig-1.2"/>
          <w:p>
            <w:pPr>
              <w:pStyle w:val="Compact"/>
              <w:jc w:val="center"/>
            </w:pPr>
            <w:r>
              <w:drawing>
                <wp:inline>
                  <wp:extent cx="3318140" cy="4734084"/>
                  <wp:effectExtent b="0" l="0" r="0" t="0"/>
                  <wp:docPr descr="" title="" id="42" name="Picture"/>
                  <a:graphic>
                    <a:graphicData uri="http://schemas.openxmlformats.org/drawingml/2006/picture">
                      <pic:pic>
                        <pic:nvPicPr>
                          <pic:cNvPr descr="images/fig1-3_hr.png" id="43" name="Picture"/>
                          <pic:cNvPicPr>
                            <a:picLocks noChangeArrowheads="1" noChangeAspect="1"/>
                          </pic:cNvPicPr>
                        </pic:nvPicPr>
                        <pic:blipFill>
                          <a:blip r:embed="rId41"/>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4">
              <w:r>
                <w:rPr>
                  <w:rStyle w:val="Hyperlink"/>
                </w:rPr>
                <w:t xml:space="preserve">here</w:t>
              </w:r>
            </w:hyperlink>
            <w:r>
              <w:t xml:space="preserve">. The interactive graph can also be run</w:t>
            </w:r>
            <w:r>
              <w:t xml:space="preserve"> </w:t>
            </w:r>
            <w:hyperlink r:id="rId45">
              <w:r>
                <w:rPr>
                  <w:rStyle w:val="Hyperlink"/>
                </w:rPr>
                <w:t xml:space="preserve">here</w:t>
              </w:r>
            </w:hyperlink>
            <w:r>
              <w:t xml:space="preserve"> </w:t>
            </w:r>
            <w:r>
              <w:t xml:space="preserve">for users without R.</w:t>
            </w:r>
          </w:p>
          <w:bookmarkEnd w:id="46"/>
        </w:tc>
      </w:tr>
    </w:tbl>
    <w:bookmarkEnd w:id="47"/>
    <w:bookmarkStart w:id="49"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48"/>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49"/>
    <w:bookmarkStart w:id="58"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 w:name="fig-1.3"/>
          <w:p>
            <w:pPr>
              <w:pStyle w:val="Compact"/>
              <w:jc w:val="center"/>
            </w:pPr>
            <w:r>
              <w:drawing>
                <wp:inline>
                  <wp:extent cx="5943600" cy="2650146"/>
                  <wp:effectExtent b="0" l="0" r="0" t="0"/>
                  <wp:docPr descr="" title="" id="51" name="Picture"/>
                  <a:graphic>
                    <a:graphicData uri="http://schemas.openxmlformats.org/drawingml/2006/picture">
                      <pic:pic>
                        <pic:nvPicPr>
                          <pic:cNvPr descr="images/fig1-4.jpg" id="52" name="Picture"/>
                          <pic:cNvPicPr>
                            <a:picLocks noChangeArrowheads="1" noChangeAspect="1"/>
                          </pic:cNvPicPr>
                        </pic:nvPicPr>
                        <pic:blipFill>
                          <a:blip r:embed="rId50"/>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53"/>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4"/>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55"/>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56"/>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58"/>
    <w:bookmarkEnd w:id="59"/>
    <w:bookmarkStart w:id="60"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bookmarkEnd w:id="60"/>
    <w:bookmarkStart w:id="63"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1"/>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2"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2"/>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63"/>
    <w:bookmarkEnd w:id="64"/>
    <w:bookmarkStart w:id="110" w:name="sec-eco-hyp"/>
    <w:p>
      <w:pPr>
        <w:pStyle w:val="Heading1"/>
      </w:pPr>
      <w:r>
        <w:t xml:space="preserve">2. The Ecological Hypotheses</w:t>
      </w:r>
    </w:p>
    <w:p>
      <w:pPr>
        <w:pStyle w:val="FirstParagraph"/>
      </w:pPr>
      <w:r>
        <w:drawing>
          <wp:inline>
            <wp:extent cx="3822191" cy="2545080"/>
            <wp:effectExtent b="0" l="0" r="0" t="0"/>
            <wp:docPr descr="" title="" id="66" name="Picture"/>
            <a:graphic>
              <a:graphicData uri="http://schemas.openxmlformats.org/drawingml/2006/picture">
                <pic:pic>
                  <pic:nvPicPr>
                    <pic:cNvPr descr="images/fig2-1.jpeg" id="67" name="Picture"/>
                    <pic:cNvPicPr>
                      <a:picLocks noChangeArrowheads="1" noChangeAspect="1"/>
                    </pic:cNvPicPr>
                  </pic:nvPicPr>
                  <pic:blipFill>
                    <a:blip r:embed="rId65"/>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73"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68"/>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pct" w:w="5000"/>
        <w:tblLook w:firstRow="0" w:lastRow="0" w:firstColumn="0" w:lastColumn="0" w:noHBand="0" w:noVBand="0" w:val="0000"/>
        <w:jc w:val="start"/>
        <w:tblLayout w:type="fixed"/>
      </w:tblPr>
      <w:tblGrid>
        <w:gridCol w:w="7920"/>
      </w:tblGrid>
      <w:tr>
        <w:tc>
          <w:tcPr/>
          <w:bookmarkStart w:id="71"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69"/>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0"/>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1"/>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2"/>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73"/>
    <w:bookmarkStart w:id="81"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74"/>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75"/>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 w:name="fig-2-2"/>
          <w:p>
            <w:pPr>
              <w:pStyle w:val="Compact"/>
              <w:jc w:val="center"/>
            </w:pPr>
            <w:r>
              <w:drawing>
                <wp:inline>
                  <wp:extent cx="4642338" cy="4489428"/>
                  <wp:effectExtent b="0" l="0" r="0" t="0"/>
                  <wp:docPr descr="" title="" id="77" name="Picture"/>
                  <a:graphic>
                    <a:graphicData uri="http://schemas.openxmlformats.org/drawingml/2006/picture">
                      <pic:pic>
                        <pic:nvPicPr>
                          <pic:cNvPr descr="images/fig2-2_hr.png" id="78" name="Picture"/>
                          <pic:cNvPicPr>
                            <a:picLocks noChangeArrowheads="1" noChangeAspect="1"/>
                          </pic:cNvPicPr>
                        </pic:nvPicPr>
                        <pic:blipFill>
                          <a:blip r:embed="rId76"/>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79"/>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0"/>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1"/>
    <w:bookmarkStart w:id="101"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2"/>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86" w:name="fig-2-3"/>
          <w:p>
            <w:pPr>
              <w:pStyle w:val="Compact"/>
              <w:jc w:val="center"/>
            </w:pPr>
            <w:r>
              <w:drawing>
                <wp:inline>
                  <wp:extent cx="4657629" cy="5767753"/>
                  <wp:effectExtent b="0" l="0" r="0" t="0"/>
                  <wp:docPr descr="" title="" id="84" name="Picture"/>
                  <a:graphic>
                    <a:graphicData uri="http://schemas.openxmlformats.org/drawingml/2006/picture">
                      <pic:pic>
                        <pic:nvPicPr>
                          <pic:cNvPr descr="images/fig2-3_hr.png" id="85" name="Picture"/>
                          <pic:cNvPicPr>
                            <a:picLocks noChangeArrowheads="1" noChangeAspect="1"/>
                          </pic:cNvPicPr>
                        </pic:nvPicPr>
                        <pic:blipFill>
                          <a:blip r:embed="rId83"/>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86"/>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0" w:name="fig-2-4"/>
          <w:p>
            <w:pPr>
              <w:pStyle w:val="Compact"/>
              <w:jc w:val="center"/>
            </w:pPr>
            <w:r>
              <w:drawing>
                <wp:inline>
                  <wp:extent cx="5943600" cy="3970755"/>
                  <wp:effectExtent b="0" l="0" r="0" t="0"/>
                  <wp:docPr descr="" title="" id="88" name="Picture"/>
                  <a:graphic>
                    <a:graphicData uri="http://schemas.openxmlformats.org/drawingml/2006/picture">
                      <pic:pic>
                        <pic:nvPicPr>
                          <pic:cNvPr descr="images/fig2-4_hr.png" id="89" name="Picture"/>
                          <pic:cNvPicPr>
                            <a:picLocks noChangeArrowheads="1" noChangeAspect="1"/>
                          </pic:cNvPicPr>
                        </pic:nvPicPr>
                        <pic:blipFill>
                          <a:blip r:embed="rId87"/>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0"/>
        </w:tc>
      </w:tr>
    </w:tbl>
    <w:bookmarkStart w:id="94"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1"/>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92">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3"/>
      </w:r>
    </w:p>
    <w:bookmarkEnd w:id="94"/>
    <w:bookmarkStart w:id="100"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(1978)</w:t>
      </w:r>
      <w:r>
        <w:t xml:space="preserve">,</w:t>
      </w:r>
      <w:r>
        <w:rPr>
          <w:rStyle w:val="FootnoteReference"/>
        </w:rPr>
        <w:footnoteReference w:id="95"/>
      </w:r>
      <w:r>
        <w:t xml:space="preserve"> </w:t>
      </w:r>
      <w:r>
        <w:t xml:space="preserve">Jaenike</w:t>
      </w:r>
      <w:r>
        <w:t xml:space="preserve"> </w:t>
      </w:r>
      <w:r>
        <w:t xml:space="preserve">(1978)</w:t>
      </w:r>
      <w:r>
        <w:t xml:space="preserve">,</w:t>
      </w:r>
      <w:r>
        <w:rPr>
          <w:rStyle w:val="FootnoteReference"/>
        </w:rPr>
        <w:footnoteReference w:id="96"/>
      </w:r>
      <w:r>
        <w:t xml:space="preserve"> </w:t>
      </w:r>
      <w:r>
        <w:t xml:space="preserve">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97"/>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98"/>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99"/>
      </w:r>
    </w:p>
    <w:bookmarkEnd w:id="100"/>
    <w:bookmarkEnd w:id="101"/>
    <w:bookmarkStart w:id="102"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2"/>
    <w:bookmarkStart w:id="109"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03"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03"/>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04"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04"/>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05"/>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mathrm{\Delta}q as a function of q for Prout’s model of dominance" title="" id="107" name="Picture"/>
            <a:graphic>
              <a:graphicData uri="http://schemas.openxmlformats.org/drawingml/2006/picture">
                <pic:pic>
                  <pic:nvPicPr>
                    <pic:cNvPr descr="images/fig2-5_hr.png" id="108" name="Picture"/>
                    <pic:cNvPicPr>
                      <a:picLocks noChangeArrowheads="1" noChangeAspect="1"/>
                    </pic:cNvPicPr>
                  </pic:nvPicPr>
                  <pic:blipFill>
                    <a:blip r:embed="rId106"/>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rPr>
            <m:sty m:val="p"/>
          </m:rPr>
          <m:t>Δ</m:t>
        </m:r>
        <m:r>
          <m:t>q</m:t>
        </m:r>
      </m:oMath>
      <w:r>
        <w:t xml:space="preserve"> </w:t>
      </w:r>
      <w:r>
        <w:t xml:space="preserve">as a function of</w:t>
      </w:r>
      <w:r>
        <w:t xml:space="preserve"> </w:t>
      </w:r>
      <m:oMath>
        <m:r>
          <m:t>q</m:t>
        </m:r>
      </m:oMath>
      <w:r>
        <w:t xml:space="preserve"> </w:t>
      </w:r>
      <w:r>
        <w:t xml:space="preserve">for Prout’s model of dominance</w:t>
      </w:r>
    </w:p>
    <w:bookmarkEnd w:id="109"/>
    <w:bookmarkEnd w:id="110"/>
    <w:bookmarkStart w:id="161" w:name="sec-eco-hyp-cont"/>
    <w:p>
      <w:pPr>
        <w:pStyle w:val="Heading1"/>
      </w:pPr>
      <w:r>
        <w:t xml:space="preserve">3. Contrasting the Ecological Hypotheses</w:t>
      </w:r>
    </w:p>
    <w:p>
      <w:pPr>
        <w:pStyle w:val="FirstParagraph"/>
      </w:pPr>
      <w:r>
        <w:drawing>
          <wp:inline>
            <wp:extent cx="1834895" cy="2584704"/>
            <wp:effectExtent b="0" l="0" r="0" t="0"/>
            <wp:docPr descr="" title="" id="112" name="Picture"/>
            <a:graphic>
              <a:graphicData uri="http://schemas.openxmlformats.org/drawingml/2006/picture">
                <pic:pic>
                  <pic:nvPicPr>
                    <pic:cNvPr descr="images/fig3-1.jpeg" id="113" name="Picture"/>
                    <pic:cNvPicPr>
                      <a:picLocks noChangeArrowheads="1" noChangeAspect="1"/>
                    </pic:cNvPicPr>
                  </pic:nvPicPr>
                  <pic:blipFill>
                    <a:blip r:embed="rId111"/>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4"/>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15"/>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19" w:name="fig-3-2"/>
          <w:p>
            <w:pPr>
              <w:pStyle w:val="Compact"/>
              <w:jc w:val="center"/>
            </w:pPr>
            <w:r>
              <w:drawing>
                <wp:inline>
                  <wp:extent cx="2377440" cy="3076687"/>
                  <wp:effectExtent b="0" l="0" r="0" t="0"/>
                  <wp:docPr descr="" title="" id="117" name="Picture"/>
                  <a:graphic>
                    <a:graphicData uri="http://schemas.openxmlformats.org/drawingml/2006/picture">
                      <pic:pic>
                        <pic:nvPicPr>
                          <pic:cNvPr descr="images/fig3-2.jpeg" id="118" name="Picture"/>
                          <pic:cNvPicPr>
                            <a:picLocks noChangeArrowheads="1" noChangeAspect="1"/>
                          </pic:cNvPicPr>
                        </pic:nvPicPr>
                        <pic:blipFill>
                          <a:blip r:embed="rId116"/>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1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3" w:name="fig-3-3"/>
          <w:p>
            <w:pPr>
              <w:pStyle w:val="Compact"/>
              <w:jc w:val="center"/>
            </w:pPr>
            <w:r>
              <w:drawing>
                <wp:inline>
                  <wp:extent cx="2377440" cy="2657717"/>
                  <wp:effectExtent b="0" l="0" r="0" t="0"/>
                  <wp:docPr descr="" title="" id="121" name="Picture"/>
                  <a:graphic>
                    <a:graphicData uri="http://schemas.openxmlformats.org/drawingml/2006/picture">
                      <pic:pic>
                        <pic:nvPicPr>
                          <pic:cNvPr descr="images/fig3-3.jpeg" id="122" name="Picture"/>
                          <pic:cNvPicPr>
                            <a:picLocks noChangeArrowheads="1" noChangeAspect="1"/>
                          </pic:cNvPicPr>
                        </pic:nvPicPr>
                        <pic:blipFill>
                          <a:blip r:embed="rId120"/>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3"/>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24"/>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25"/>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6"/>
      </w:r>
    </w:p>
    <w:bookmarkStart w:id="135"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27"/>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2" w:name="fig-3-4"/>
          <w:p>
            <w:pPr>
              <w:pStyle w:val="Compact"/>
              <w:jc w:val="center"/>
            </w:pPr>
            <w:r>
              <w:drawing>
                <wp:inline>
                  <wp:extent cx="5943600" cy="3965495"/>
                  <wp:effectExtent b="0" l="0" r="0" t="0"/>
                  <wp:docPr descr="" title="" id="129" name="Picture"/>
                  <a:graphic>
                    <a:graphicData uri="http://schemas.openxmlformats.org/drawingml/2006/picture">
                      <pic:pic>
                        <pic:nvPicPr>
                          <pic:cNvPr descr="images/fig3-4.jpeg" id="130" name="Picture"/>
                          <pic:cNvPicPr>
                            <a:picLocks noChangeArrowheads="1" noChangeAspect="1"/>
                          </pic:cNvPicPr>
                        </pic:nvPicPr>
                        <pic:blipFill>
                          <a:blip r:embed="rId128"/>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1">
              <w:r>
                <w:rPr>
                  <w:rStyle w:val="Hyperlink"/>
                </w:rPr>
                <w:t xml:space="preserve">Bart Zijlstra</w:t>
              </w:r>
            </w:hyperlink>
            <w:r>
              <w:t xml:space="preserve">.</w:t>
            </w:r>
          </w:p>
          <w:bookmarkEnd w:id="132"/>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4"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3"/>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4"/>
    <w:bookmarkEnd w:id="135"/>
    <w:bookmarkStart w:id="154"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36"/>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37"/>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38"/>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39"/>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0"/>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1"/>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45" w:name="fig-3-5"/>
          <w:p>
            <w:pPr>
              <w:pStyle w:val="Compact"/>
              <w:jc w:val="center"/>
            </w:pPr>
            <w:r>
              <w:drawing>
                <wp:inline>
                  <wp:extent cx="5943600" cy="5878179"/>
                  <wp:effectExtent b="0" l="0" r="0" t="0"/>
                  <wp:docPr descr="" title="" id="143" name="Picture"/>
                  <a:graphic>
                    <a:graphicData uri="http://schemas.openxmlformats.org/drawingml/2006/picture">
                      <pic:pic>
                        <pic:nvPicPr>
                          <pic:cNvPr descr="images/fig3-5_hr.png" id="144" name="Picture"/>
                          <pic:cNvPicPr>
                            <a:picLocks noChangeArrowheads="1" noChangeAspect="1"/>
                          </pic:cNvPicPr>
                        </pic:nvPicPr>
                        <pic:blipFill>
                          <a:blip r:embed="rId142"/>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9" w:name="fig-3-6"/>
          <w:p>
            <w:pPr>
              <w:pStyle w:val="Compact"/>
              <w:jc w:val="center"/>
            </w:pPr>
            <w:r>
              <w:drawing>
                <wp:inline>
                  <wp:extent cx="5943600" cy="7691717"/>
                  <wp:effectExtent b="0" l="0" r="0" t="0"/>
                  <wp:docPr descr="" title="" id="147" name="Picture"/>
                  <a:graphic>
                    <a:graphicData uri="http://schemas.openxmlformats.org/drawingml/2006/picture">
                      <pic:pic>
                        <pic:nvPicPr>
                          <pic:cNvPr descr="images/fig3-6_hr.png" id="148" name="Picture"/>
                          <pic:cNvPicPr>
                            <a:picLocks noChangeArrowheads="1" noChangeAspect="1"/>
                          </pic:cNvPicPr>
                        </pic:nvPicPr>
                        <pic:blipFill>
                          <a:blip r:embed="rId146"/>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49"/>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0"/>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1"/>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2"/>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3"/>
      </w:r>
      <w:r>
        <w:t xml:space="preserve"> </w:t>
      </w:r>
      <w:r>
        <w:t xml:space="preserve">But the results do imply that the Red Queen Hypothesis was (and still is) worthy of further study.</w:t>
      </w:r>
    </w:p>
    <w:bookmarkEnd w:id="154"/>
    <w:bookmarkStart w:id="155"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55"/>
    <w:bookmarkStart w:id="160"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56"/>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58" name="Picture"/>
            <a:graphic>
              <a:graphicData uri="http://schemas.openxmlformats.org/drawingml/2006/picture">
                <pic:pic>
                  <pic:nvPicPr>
                    <pic:cNvPr descr="images/fig3-7_hr.png" id="159" name="Picture"/>
                    <pic:cNvPicPr>
                      <a:picLocks noChangeArrowheads="1" noChangeAspect="1"/>
                    </pic:cNvPicPr>
                  </pic:nvPicPr>
                  <pic:blipFill>
                    <a:blip r:embed="rId157"/>
                    <a:stretch>
                      <a:fillRect/>
                    </a:stretch>
                  </pic:blipFill>
                  <pic:spPr bwMode="auto">
                    <a:xfrm>
                      <a:off x="0" y="0"/>
                      <a:ext cx="5943600" cy="3088595"/>
                    </a:xfrm>
                    <a:prstGeom prst="rect">
                      <a:avLst/>
                    </a:prstGeom>
                    <a:noFill/>
                    <a:ln w="9525">
                      <a:noFill/>
                      <a:headEnd/>
                      <a:tailEnd/>
                    </a:ln>
                  </pic:spPr>
                </pic:pic>
              </a:graphicData>
            </a:graphic>
          </wp:inline>
        </w:drawing>
      </w:r>
    </w:p>
    <w:bookmarkEnd w:id="160"/>
    <w:bookmarkEnd w:id="161"/>
    <w:bookmarkStart w:id="195"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63" name="Picture"/>
            <a:graphic>
              <a:graphicData uri="http://schemas.openxmlformats.org/drawingml/2006/picture">
                <pic:pic>
                  <pic:nvPicPr>
                    <pic:cNvPr descr="images/fig4-1.jpeg" id="164" name="Picture"/>
                    <pic:cNvPicPr>
                      <a:picLocks noChangeArrowheads="1" noChangeAspect="1"/>
                    </pic:cNvPicPr>
                  </pic:nvPicPr>
                  <pic:blipFill>
                    <a:blip r:embed="rId162"/>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87"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65"/>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 w:name="fig-4.1"/>
          <w:p>
            <w:pPr>
              <w:pStyle w:val="Compact"/>
              <w:jc w:val="center"/>
            </w:pPr>
            <w:r>
              <w:drawing>
                <wp:inline>
                  <wp:extent cx="5943600" cy="4172174"/>
                  <wp:effectExtent b="0" l="0" r="0" t="0"/>
                  <wp:docPr descr="" title="" id="167" name="Picture"/>
                  <a:graphic>
                    <a:graphicData uri="http://schemas.openxmlformats.org/drawingml/2006/picture">
                      <pic:pic>
                        <pic:nvPicPr>
                          <pic:cNvPr descr="images/fig4-2.jpeg" id="168" name="Picture"/>
                          <pic:cNvPicPr>
                            <a:picLocks noChangeArrowheads="1" noChangeAspect="1"/>
                          </pic:cNvPicPr>
                        </pic:nvPicPr>
                        <pic:blipFill>
                          <a:blip r:embed="rId166"/>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6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3" w:name="fig-4.2"/>
          <w:p>
            <w:pPr>
              <w:pStyle w:val="Compact"/>
              <w:jc w:val="center"/>
            </w:pPr>
            <w:r>
              <w:drawing>
                <wp:inline>
                  <wp:extent cx="4096512" cy="4681728"/>
                  <wp:effectExtent b="0" l="0" r="0" t="0"/>
                  <wp:docPr descr="" title="" id="171" name="Picture"/>
                  <a:graphic>
                    <a:graphicData uri="http://schemas.openxmlformats.org/drawingml/2006/picture">
                      <pic:pic>
                        <pic:nvPicPr>
                          <pic:cNvPr descr="images/fig4-3.jpg" id="172" name="Picture"/>
                          <pic:cNvPicPr>
                            <a:picLocks noChangeArrowheads="1" noChangeAspect="1"/>
                          </pic:cNvPicPr>
                        </pic:nvPicPr>
                        <pic:blipFill>
                          <a:blip r:embed="rId170"/>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73"/>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77" w:name="fig-4.3"/>
          <w:p>
            <w:pPr>
              <w:pStyle w:val="Compact"/>
              <w:jc w:val="center"/>
            </w:pPr>
            <w:r>
              <w:drawing>
                <wp:inline>
                  <wp:extent cx="5943600" cy="3556182"/>
                  <wp:effectExtent b="0" l="0" r="0" t="0"/>
                  <wp:docPr descr="" title="" id="175" name="Picture"/>
                  <a:graphic>
                    <a:graphicData uri="http://schemas.openxmlformats.org/drawingml/2006/picture">
                      <pic:pic>
                        <pic:nvPicPr>
                          <pic:cNvPr descr="images/fig4-4.png" id="176" name="Picture"/>
                          <pic:cNvPicPr>
                            <a:picLocks noChangeArrowheads="1" noChangeAspect="1"/>
                          </pic:cNvPicPr>
                        </pic:nvPicPr>
                        <pic:blipFill>
                          <a:blip r:embed="rId174"/>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77"/>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1" w:name="fig-4.4"/>
          <w:p>
            <w:pPr>
              <w:pStyle w:val="Compact"/>
              <w:jc w:val="center"/>
            </w:pPr>
            <w:r>
              <w:drawing>
                <wp:inline>
                  <wp:extent cx="5943600" cy="3496652"/>
                  <wp:effectExtent b="0" l="0" r="0" t="0"/>
                  <wp:docPr descr="" title="" id="179" name="Picture"/>
                  <a:graphic>
                    <a:graphicData uri="http://schemas.openxmlformats.org/drawingml/2006/picture">
                      <pic:pic>
                        <pic:nvPicPr>
                          <pic:cNvPr descr="images/fig4-5.png" id="180" name="Picture"/>
                          <pic:cNvPicPr>
                            <a:picLocks noChangeArrowheads="1" noChangeAspect="1"/>
                          </pic:cNvPicPr>
                        </pic:nvPicPr>
                        <pic:blipFill>
                          <a:blip r:embed="rId178"/>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1"/>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82"/>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86" w:name="fig-4.5"/>
          <w:p>
            <w:pPr>
              <w:pStyle w:val="Compact"/>
              <w:jc w:val="center"/>
            </w:pPr>
            <w:r>
              <w:drawing>
                <wp:inline>
                  <wp:extent cx="5943600" cy="6033654"/>
                  <wp:effectExtent b="0" l="0" r="0" t="0"/>
                  <wp:docPr descr="" title="" id="184" name="Picture"/>
                  <a:graphic>
                    <a:graphicData uri="http://schemas.openxmlformats.org/drawingml/2006/picture">
                      <pic:pic>
                        <pic:nvPicPr>
                          <pic:cNvPr descr="images/fig4-6.png" id="185" name="Picture"/>
                          <pic:cNvPicPr>
                            <a:picLocks noChangeArrowheads="1" noChangeAspect="1"/>
                          </pic:cNvPicPr>
                        </pic:nvPicPr>
                        <pic:blipFill>
                          <a:blip r:embed="rId183"/>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86"/>
        </w:tc>
      </w:tr>
    </w:tbl>
    <w:bookmarkEnd w:id="187"/>
    <w:bookmarkStart w:id="193"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88"/>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192" w:name="fig-4.6"/>
          <w:p>
            <w:pPr>
              <w:pStyle w:val="Compact"/>
              <w:jc w:val="center"/>
            </w:pPr>
            <w:r>
              <w:drawing>
                <wp:inline>
                  <wp:extent cx="5943600" cy="6202935"/>
                  <wp:effectExtent b="0" l="0" r="0" t="0"/>
                  <wp:docPr descr="" title="" id="190" name="Picture"/>
                  <a:graphic>
                    <a:graphicData uri="http://schemas.openxmlformats.org/drawingml/2006/picture">
                      <pic:pic>
                        <pic:nvPicPr>
                          <pic:cNvPr descr="images/fig4-7.jpeg" id="191" name="Picture"/>
                          <pic:cNvPicPr>
                            <a:picLocks noChangeArrowheads="1" noChangeAspect="1"/>
                          </pic:cNvPicPr>
                        </pic:nvPicPr>
                        <pic:blipFill>
                          <a:blip r:embed="rId189"/>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192"/>
        </w:tc>
      </w:tr>
    </w:tbl>
    <w:bookmarkEnd w:id="193"/>
    <w:bookmarkStart w:id="194" w:name="summary-3"/>
    <w:p>
      <w:pPr>
        <w:pStyle w:val="Heading2"/>
      </w:pPr>
      <w:r>
        <w:t xml:space="preserve">4.3 Summary</w:t>
      </w:r>
    </w:p>
    <w:p>
      <w:pPr>
        <w:numPr>
          <w:ilvl w:val="0"/>
          <w:numId w:val="1007"/>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07"/>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07"/>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194"/>
    <w:bookmarkEnd w:id="195"/>
    <w:bookmarkStart w:id="215" w:name="gynogenetic-fish"/>
    <w:p>
      <w:pPr>
        <w:pStyle w:val="Heading1"/>
      </w:pPr>
      <w:r>
        <w:t xml:space="preserve">5. Gynogenetic Fish</w:t>
      </w:r>
    </w:p>
    <w:p>
      <w:pPr>
        <w:pStyle w:val="FirstParagraph"/>
      </w:pPr>
      <w:r>
        <w:drawing>
          <wp:inline>
            <wp:extent cx="4105655" cy="1475232"/>
            <wp:effectExtent b="0" l="0" r="0" t="0"/>
            <wp:docPr descr="" title="" id="197" name="Picture"/>
            <a:graphic>
              <a:graphicData uri="http://schemas.openxmlformats.org/drawingml/2006/picture">
                <pic:pic>
                  <pic:nvPicPr>
                    <pic:cNvPr descr="images/fig5-1.jpeg" id="198" name="Picture"/>
                    <pic:cNvPicPr>
                      <a:picLocks noChangeArrowheads="1" noChangeAspect="1"/>
                    </pic:cNvPicPr>
                  </pic:nvPicPr>
                  <pic:blipFill>
                    <a:blip r:embed="rId196"/>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199"/>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0"/>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04" w:name="fig-5-1"/>
          <w:p>
            <w:pPr>
              <w:pStyle w:val="Compact"/>
              <w:jc w:val="center"/>
            </w:pPr>
            <w:r>
              <w:drawing>
                <wp:inline>
                  <wp:extent cx="5943600" cy="7691717"/>
                  <wp:effectExtent b="0" l="0" r="0" t="0"/>
                  <wp:docPr descr="" title="" id="202" name="Picture"/>
                  <a:graphic>
                    <a:graphicData uri="http://schemas.openxmlformats.org/drawingml/2006/picture">
                      <pic:pic>
                        <pic:nvPicPr>
                          <pic:cNvPr descr="images/fig5-2.png" id="203" name="Picture"/>
                          <pic:cNvPicPr>
                            <a:picLocks noChangeArrowheads="1" noChangeAspect="1"/>
                          </pic:cNvPicPr>
                        </pic:nvPicPr>
                        <pic:blipFill>
                          <a:blip r:embed="rId20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0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8" w:name="fig-5-2"/>
          <w:p>
            <w:pPr>
              <w:pStyle w:val="Compact"/>
              <w:jc w:val="center"/>
            </w:pPr>
            <w:r>
              <w:drawing>
                <wp:inline>
                  <wp:extent cx="5943600" cy="6075413"/>
                  <wp:effectExtent b="0" l="0" r="0" t="0"/>
                  <wp:docPr descr="" title="" id="206" name="Picture"/>
                  <a:graphic>
                    <a:graphicData uri="http://schemas.openxmlformats.org/drawingml/2006/picture">
                      <pic:pic>
                        <pic:nvPicPr>
                          <pic:cNvPr descr="images/fig5-3.png" id="207" name="Picture"/>
                          <pic:cNvPicPr>
                            <a:picLocks noChangeArrowheads="1" noChangeAspect="1"/>
                          </pic:cNvPicPr>
                        </pic:nvPicPr>
                        <pic:blipFill>
                          <a:blip r:embed="rId205"/>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08"/>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09"/>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13" w:name="fig-5-3"/>
          <w:p>
            <w:pPr>
              <w:pStyle w:val="Compact"/>
              <w:jc w:val="center"/>
            </w:pPr>
            <w:r>
              <w:drawing>
                <wp:inline>
                  <wp:extent cx="5943600" cy="7691717"/>
                  <wp:effectExtent b="0" l="0" r="0" t="0"/>
                  <wp:docPr descr="" title="" id="211" name="Picture"/>
                  <a:graphic>
                    <a:graphicData uri="http://schemas.openxmlformats.org/drawingml/2006/picture">
                      <pic:pic>
                        <pic:nvPicPr>
                          <pic:cNvPr descr="images/fig5-4.png" id="212" name="Picture"/>
                          <pic:cNvPicPr>
                            <a:picLocks noChangeArrowheads="1" noChangeAspect="1"/>
                          </pic:cNvPicPr>
                        </pic:nvPicPr>
                        <pic:blipFill>
                          <a:blip r:embed="rId21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13"/>
        </w:tc>
      </w:tr>
    </w:tbl>
    <w:bookmarkStart w:id="214" w:name="sec-app-5"/>
    <w:p>
      <w:pPr>
        <w:pStyle w:val="Heading2"/>
      </w:pPr>
      <w:r>
        <w:t xml:space="preserve">5.1 Appendix: Red Queen Hypothesis Predictions</w:t>
      </w:r>
    </w:p>
    <w:p>
      <w:pPr>
        <w:pStyle w:val="FirstParagraph"/>
      </w:pPr>
      <w:r>
        <w:t xml:space="preserve">It can be a bit confusing, but I think that the prediction of the Red Queen Hypothesis changes depending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regions without parasites would evolve to reproduce by parthenogenesis. That would tend to suggest that sex would be positively correlated with infection prevalence. The pattern would be expected to be messy, and it may not be found due to time lags, even in cases where parasites are the major driving force for sex, as suggested elsewhere</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would be more common where there has been a history of strong parasite-mediated selection.</w:t>
      </w:r>
    </w:p>
    <w:p>
      <w:pPr>
        <w:pStyle w:val="BodyText"/>
      </w:pPr>
      <w:r>
        <w:rPr>
          <w:bCs/>
          <w:b/>
        </w:rPr>
        <w:t xml:space="preserve">Within populations</w:t>
      </w:r>
      <w:r>
        <w:t xml:space="preserve"> </w:t>
      </w:r>
      <w:r>
        <w:t xml:space="preserve">we might expect for asexuals to be more infected than sexuals, at least periodically. This sounds different from the expectation for between-population samples, but it is part of the same logic. If parasites are tracking common clones, then the common asexual genotypes within a population should be more infected, potentially resulting in a higher average prevalence of infection in the asexual population, even when there is more than one clone present. On the other hand, we expect sexual populations to have more parasites.</w:t>
      </w:r>
    </w:p>
    <w:p>
      <w:pPr>
        <w:pStyle w:val="BodyText"/>
      </w:pPr>
      <w:r>
        <w:t xml:space="preserve">These may sound like different predictions, but they go together. If there are few or no parasites, asexuals should win. If there are abundant parasites, sex should be maintained, perhaps in mixed populations of sexuals and asexuals. In mixed populations, we would expect common asexual genotypes to be more infected than sexual females, at least periodically. (Note that infection in males is not important, unless females become sperm limited.)</w:t>
      </w:r>
    </w:p>
    <w:bookmarkEnd w:id="214"/>
    <w:bookmarkEnd w:id="215"/>
    <w:bookmarkStart w:id="255" w:name="sec-chap6"/>
    <w:p>
      <w:pPr>
        <w:pStyle w:val="Heading1"/>
      </w:pPr>
      <w:r>
        <w:t xml:space="preserve">6. The Ratchet and the Red Queen</w:t>
      </w:r>
    </w:p>
    <w:p>
      <w:pPr>
        <w:pStyle w:val="FirstParagraph"/>
      </w:pPr>
      <w:r>
        <w:drawing>
          <wp:inline>
            <wp:extent cx="2054352" cy="2761488"/>
            <wp:effectExtent b="0" l="0" r="0" t="0"/>
            <wp:docPr descr="" title="" id="217" name="Picture"/>
            <a:graphic>
              <a:graphicData uri="http://schemas.openxmlformats.org/drawingml/2006/picture">
                <pic:pic>
                  <pic:nvPicPr>
                    <pic:cNvPr descr="images/fig6-1.jpeg" id="218" name="Picture"/>
                    <pic:cNvPicPr>
                      <a:picLocks noChangeArrowheads="1" noChangeAspect="1"/>
                    </pic:cNvPicPr>
                  </pic:nvPicPr>
                  <pic:blipFill>
                    <a:blip r:embed="rId216"/>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1"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(1983)</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19"/>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 Lively 2018)</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(Lively &amp; Howard 1994)</w:t>
      </w:r>
      <w:r>
        <w:t xml:space="preserve">.</w:t>
      </w:r>
      <w:r>
        <w:rPr>
          <w:rStyle w:val="FootnoteReference"/>
        </w:rPr>
        <w:footnoteReference w:id="220"/>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1"/>
    <w:bookmarkStart w:id="223"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(Sobels 1964)</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(1964)</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(1974)</w:t>
      </w:r>
      <w:r>
        <w:t xml:space="preserve">, and he pointed to the probable importance of the ratchet in population genetics.</w:t>
      </w:r>
      <w:r>
        <w:rPr>
          <w:rStyle w:val="FootnoteReference"/>
        </w:rPr>
        <w:footnoteReference w:id="222"/>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23"/>
    <w:bookmarkStart w:id="252"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(Judson 1994)</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(1966)</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(Haigh 1978)</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27" w:name="fig-6-1"/>
          <w:p>
            <w:pPr>
              <w:pStyle w:val="Compact"/>
              <w:jc w:val="center"/>
            </w:pPr>
            <w:r>
              <w:drawing>
                <wp:inline>
                  <wp:extent cx="5943600" cy="3699491"/>
                  <wp:effectExtent b="0" l="0" r="0" t="0"/>
                  <wp:docPr descr="" title="" id="225" name="Picture"/>
                  <a:graphic>
                    <a:graphicData uri="http://schemas.openxmlformats.org/drawingml/2006/picture">
                      <pic:pic>
                        <pic:nvPicPr>
                          <pic:cNvPr descr="images/fig6-2.png" id="226" name="Picture"/>
                          <pic:cNvPicPr>
                            <a:picLocks noChangeArrowheads="1" noChangeAspect="1"/>
                          </pic:cNvPicPr>
                        </pic:nvPicPr>
                        <pic:blipFill>
                          <a:blip r:embed="rId224"/>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2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1" w:name="fig-6-2"/>
          <w:p>
            <w:pPr>
              <w:pStyle w:val="Compact"/>
              <w:jc w:val="center"/>
            </w:pPr>
            <w:r>
              <w:drawing>
                <wp:inline>
                  <wp:extent cx="5943600" cy="3663798"/>
                  <wp:effectExtent b="0" l="0" r="0" t="0"/>
                  <wp:docPr descr="" title="" id="229" name="Picture"/>
                  <a:graphic>
                    <a:graphicData uri="http://schemas.openxmlformats.org/drawingml/2006/picture">
                      <pic:pic>
                        <pic:nvPicPr>
                          <pic:cNvPr descr="images/fig6-3.png" id="230" name="Picture"/>
                          <pic:cNvPicPr>
                            <a:picLocks noChangeArrowheads="1" noChangeAspect="1"/>
                          </pic:cNvPicPr>
                        </pic:nvPicPr>
                        <pic:blipFill>
                          <a:blip r:embed="rId228"/>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(1978)</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1"/>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(Howard &amp; Lively 1994b)</w:t>
      </w:r>
      <w:r>
        <w:t xml:space="preserve">.</w:t>
      </w:r>
      <w:r>
        <w:rPr>
          <w:rStyle w:val="FootnoteReference"/>
        </w:rPr>
        <w:footnoteReference w:id="232"/>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6" w:name="fig-6-3"/>
          <w:p>
            <w:pPr>
              <w:pStyle w:val="Compact"/>
              <w:jc w:val="center"/>
            </w:pPr>
            <w:r>
              <w:drawing>
                <wp:inline>
                  <wp:extent cx="5943600" cy="7691717"/>
                  <wp:effectExtent b="0" l="0" r="0" t="0"/>
                  <wp:docPr descr="" title="" id="234" name="Picture"/>
                  <a:graphic>
                    <a:graphicData uri="http://schemas.openxmlformats.org/drawingml/2006/picture">
                      <pic:pic>
                        <pic:nvPicPr>
                          <pic:cNvPr descr="images/fig6-4.png" id="235" name="Picture"/>
                          <pic:cNvPicPr>
                            <a:picLocks noChangeArrowheads="1" noChangeAspect="1"/>
                          </pic:cNvPicPr>
                        </pic:nvPicPr>
                        <pic:blipFill>
                          <a:blip r:embed="rId233"/>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(1994a)</w:t>
            </w:r>
            <w:r>
              <w:t xml:space="preserve">.</w:t>
            </w:r>
          </w:p>
          <w:bookmarkEnd w:id="236"/>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(Lynch &amp; Gabriel 1990)</w:t>
      </w:r>
      <w:r>
        <w:t xml:space="preserve">.</w:t>
      </w:r>
      <w:r>
        <w:rPr>
          <w:rStyle w:val="FootnoteReference"/>
        </w:rPr>
        <w:footnoteReference w:id="237"/>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(1983)</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1" w:name="fig-6-4"/>
          <w:p>
            <w:pPr>
              <w:pStyle w:val="Compact"/>
              <w:jc w:val="center"/>
            </w:pPr>
            <w:r>
              <w:drawing>
                <wp:inline>
                  <wp:extent cx="5943600" cy="5761121"/>
                  <wp:effectExtent b="0" l="0" r="0" t="0"/>
                  <wp:docPr descr="" title="" id="239" name="Picture"/>
                  <a:graphic>
                    <a:graphicData uri="http://schemas.openxmlformats.org/drawingml/2006/picture">
                      <pic:pic>
                        <pic:nvPicPr>
                          <pic:cNvPr descr="images/fig6-5.png" id="240" name="Picture"/>
                          <pic:cNvPicPr>
                            <a:picLocks noChangeArrowheads="1" noChangeAspect="1"/>
                          </pic:cNvPicPr>
                        </pic:nvPicPr>
                        <pic:blipFill>
                          <a:blip r:embed="rId238"/>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(1994a)</w:t>
            </w:r>
            <w:r>
              <w:t xml:space="preserve">.</w:t>
            </w:r>
          </w:p>
          <w:bookmarkEnd w:id="241"/>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42"/>
      </w:r>
      <w:r>
        <w:t xml:space="preserve"> </w:t>
      </w:r>
      <w:r>
        <w:t xml:space="preserve">This surprised us! One of the major difficulties for the Red Queen had been that May and Anderson’s</w:t>
      </w:r>
      <w:r>
        <w:t xml:space="preserve"> </w:t>
      </w:r>
      <w:r>
        <w:t xml:space="preserve">(1983)</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43"/>
      </w:r>
    </w:p>
    <w:tbl>
      <w:tblPr>
        <w:tblStyle w:val="Table"/>
        <w:tblW w:type="pct" w:w="5000"/>
        <w:tblLook w:firstRow="0" w:lastRow="0" w:firstColumn="0" w:lastColumn="0" w:noHBand="0" w:noVBand="0" w:val="0000"/>
        <w:jc w:val="start"/>
        <w:tblLayout w:type="fixed"/>
      </w:tblPr>
      <w:tblGrid>
        <w:gridCol w:w="7920"/>
      </w:tblGrid>
      <w:tr>
        <w:tc>
          <w:tcPr/>
          <w:bookmarkStart w:id="247" w:name="fig-6-5"/>
          <w:p>
            <w:pPr>
              <w:pStyle w:val="Compact"/>
              <w:jc w:val="center"/>
            </w:pPr>
            <w:r>
              <w:drawing>
                <wp:inline>
                  <wp:extent cx="5943600" cy="5844853"/>
                  <wp:effectExtent b="0" l="0" r="0" t="0"/>
                  <wp:docPr descr="" title="" id="245" name="Picture"/>
                  <a:graphic>
                    <a:graphicData uri="http://schemas.openxmlformats.org/drawingml/2006/picture">
                      <pic:pic>
                        <pic:nvPicPr>
                          <pic:cNvPr descr="images/fig6-6.png" id="246" name="Picture"/>
                          <pic:cNvPicPr>
                            <a:picLocks noChangeArrowheads="1" noChangeAspect="1"/>
                          </pic:cNvPicPr>
                        </pic:nvPicPr>
                        <pic:blipFill>
                          <a:blip r:embed="rId244"/>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(1994a)</w:t>
            </w:r>
            <w:r>
              <w:t xml:space="preserve">.</w:t>
            </w:r>
          </w:p>
          <w:bookmarkEnd w:id="247"/>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(1999)</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(1994b)</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48"/>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49">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(Elliott &amp; Brook 2007)</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(1890)</w:t>
      </w:r>
      <w:r>
        <w:t xml:space="preserve"> </w:t>
      </w:r>
      <w:r>
        <w:t xml:space="preserve">paper better describes the best way forward with respect to the problem of sex.</w:t>
      </w:r>
    </w:p>
    <w:bookmarkStart w:id="251"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(Bell 1982)</w:t>
      </w:r>
      <w:r>
        <w:t xml:space="preserve">. This finding was emphatically supported by a formal phylogenetic study of free-living versus parasitic nematodes</w:t>
      </w:r>
      <w:r>
        <w:t xml:space="preserve"> </w:t>
      </w:r>
      <w:r>
        <w:t xml:space="preserve">(Gibson &amp; Fuentes 2015)</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(Galvani</w:t>
      </w:r>
      <w:r>
        <w:t xml:space="preserve"> </w:t>
      </w:r>
      <w:r>
        <w:rPr>
          <w:iCs/>
          <w:i/>
        </w:rPr>
        <w:t xml:space="preserve">et al.</w:t>
      </w:r>
      <w:r>
        <w:t xml:space="preserve"> </w:t>
      </w:r>
      <w:r>
        <w:t xml:space="preserve">2003; Lythgoe 2000)</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(Howard &amp; Lively 2002)</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0"/>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1"/>
    <w:bookmarkEnd w:id="252"/>
    <w:bookmarkStart w:id="253" w:name="summary-4"/>
    <w:p>
      <w:pPr>
        <w:pStyle w:val="Heading2"/>
      </w:pPr>
      <w:r>
        <w:t xml:space="preserve">6.4 Summary</w:t>
      </w:r>
    </w:p>
    <w:p>
      <w:pPr>
        <w:numPr>
          <w:ilvl w:val="0"/>
          <w:numId w:val="1008"/>
        </w:numPr>
      </w:pPr>
      <w:r>
        <w:t xml:space="preserve">The Red Queen Hypothesis is a potentially general way of explaining why clonal lineages don’t rapidly replace sexual competitors in the short term.</w:t>
      </w:r>
    </w:p>
    <w:p>
      <w:pPr>
        <w:numPr>
          <w:ilvl w:val="0"/>
          <w:numId w:val="1008"/>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08"/>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08"/>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(Neiman</w:t>
      </w:r>
      <w:r>
        <w:t xml:space="preserve"> </w:t>
      </w:r>
      <w:r>
        <w:rPr>
          <w:iCs/>
          <w:i/>
        </w:rPr>
        <w:t xml:space="preserve">et al.</w:t>
      </w:r>
      <w:r>
        <w:t xml:space="preserve"> </w:t>
      </w:r>
      <w:r>
        <w:t xml:space="preserve">2005)</w:t>
      </w:r>
      <w:r>
        <w:t xml:space="preserve">.</w:t>
      </w:r>
    </w:p>
    <w:bookmarkEnd w:id="253"/>
    <w:bookmarkStart w:id="254"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(1966)</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(1978)</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54"/>
    <w:bookmarkEnd w:id="255"/>
    <w:bookmarkStart w:id="256" w:name="sec-glossary"/>
    <w:p>
      <w:pPr>
        <w:pStyle w:val="Heading1"/>
      </w:pPr>
      <w:r>
        <w:t xml:space="preserve">7. 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56"/>
    <w:bookmarkStart w:id="428" w:name="references"/>
    <w:p>
      <w:pPr>
        <w:pStyle w:val="Heading1"/>
      </w:pPr>
      <w:r>
        <w:t xml:space="preserve">References</w:t>
      </w:r>
    </w:p>
    <w:bookmarkStart w:id="427" w:name="refs"/>
    <w:bookmarkStart w:id="257"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57"/>
    <w:bookmarkStart w:id="258"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58"/>
    <w:bookmarkStart w:id="259" w:name="ref-bancroft1903a"/>
    <w:p>
      <w:pPr>
        <w:pStyle w:val="Bibliography"/>
      </w:pPr>
      <w:r>
        <w:t xml:space="preserve">Bancroft, F.W. (1903). Variation and fusion of colonies in compound ascidians. In:</w:t>
      </w:r>
      <w:r>
        <w:t xml:space="preserve"> </w:t>
      </w:r>
      <w:r>
        <w:rPr>
          <w:iCs/>
          <w:i/>
        </w:rPr>
        <w:t xml:space="preserve">Proceedings of the california academy of sciences</w:t>
      </w:r>
      <w:r>
        <w:t xml:space="preserve">. pp. 137–186.</w:t>
      </w:r>
    </w:p>
    <w:bookmarkEnd w:id="259"/>
    <w:bookmarkStart w:id="260"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60"/>
    <w:bookmarkStart w:id="261" w:name="ref-bayley2010a"/>
    <w:p>
      <w:pPr>
        <w:pStyle w:val="Bibliography"/>
      </w:pPr>
      <w:r>
        <w:t xml:space="preserve">Bayley, M. (2010). Algebra in wonderland.</w:t>
      </w:r>
      <w:r>
        <w:t xml:space="preserve"> </w:t>
      </w:r>
      <w:r>
        <w:rPr>
          <w:iCs/>
          <w:i/>
        </w:rPr>
        <w:t xml:space="preserve">New York Times</w:t>
      </w:r>
      <w:r>
        <w:t xml:space="preserve">.</w:t>
      </w:r>
    </w:p>
    <w:bookmarkEnd w:id="261"/>
    <w:bookmarkStart w:id="262"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62"/>
    <w:bookmarkStart w:id="264" w:name="ref-bell2006a"/>
    <w:p>
      <w:pPr>
        <w:pStyle w:val="Bibliography"/>
      </w:pPr>
      <w:r>
        <w:t xml:space="preserve">Bell, T., Freckleton, R.P. &amp; Lewis, O.T. (2006).</w:t>
      </w:r>
      <w:r>
        <w:t xml:space="preserve"> </w:t>
      </w:r>
      <w:hyperlink r:id="rId263">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64"/>
    <w:bookmarkStart w:id="266" w:name="ref-blasco-costa2019a"/>
    <w:p>
      <w:pPr>
        <w:pStyle w:val="Bibliography"/>
      </w:pPr>
      <w:r>
        <w:t xml:space="preserve">Blasco-Costa, I., Seppälä, K., Feijen, F., Zajac, N., Klappert, K. &amp; Jokela, J. (2019).</w:t>
      </w:r>
      <w:r>
        <w:t xml:space="preserve"> </w:t>
      </w:r>
      <w:hyperlink r:id="rId265">
        <w:r>
          <w:rPr>
            <w:rStyle w:val="Hyperlink"/>
          </w:rPr>
          <w:t xml:space="preserve">A new species of</w:t>
        </w:r>
        <w:r>
          <w:rPr>
            <w:rStyle w:val="Hyperlink"/>
          </w:rPr>
          <w:t xml:space="preserve"> </w:t>
        </w:r>
        <w:r>
          <w:rPr>
            <w:rStyle w:val="Hyperlink"/>
            <w:iCs/>
            <w:i/>
          </w:rPr>
          <w:t xml:space="preserve">atriophallophorus</w:t>
        </w:r>
        <w:r>
          <w:rPr>
            <w:rStyle w:val="Hyperlink"/>
          </w:rPr>
          <w:t xml:space="preserve"> </w:t>
        </w:r>
        <w:r>
          <w:rPr>
            <w:rStyle w:val="Hyperlink"/>
          </w:rPr>
          <w:t xml:space="preserve">deblock &amp; rosé, 1964 (trematoda: Microphallidae)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(gray, 1843) (mollusca: tateidae)</w:t>
        </w:r>
      </w:hyperlink>
      <w:r>
        <w:t xml:space="preserve">.</w:t>
      </w:r>
      <w:r>
        <w:t xml:space="preserve"> </w:t>
      </w:r>
      <w:r>
        <w:rPr>
          <w:iCs/>
          <w:i/>
        </w:rPr>
        <w:t xml:space="preserve">Journal of Helminthology</w:t>
      </w:r>
      <w:r>
        <w:t xml:space="preserve">, 94, 1–15.</w:t>
      </w:r>
    </w:p>
    <w:bookmarkEnd w:id="266"/>
    <w:bookmarkStart w:id="267"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67"/>
    <w:bookmarkStart w:id="268"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68"/>
    <w:bookmarkStart w:id="269" w:name="ref-buss1990a"/>
    <w:p>
      <w:pPr>
        <w:pStyle w:val="Bibliography"/>
      </w:pPr>
      <w:r>
        <w:t xml:space="preserve">Buss, L. (1990). Competition within and between encrusting clonal invertebrates.</w:t>
      </w:r>
      <w:r>
        <w:t xml:space="preserve"> </w:t>
      </w:r>
      <w:r>
        <w:rPr>
          <w:iCs/>
          <w:i/>
        </w:rPr>
        <w:t xml:space="preserve">Trends in Ecology and Evolution</w:t>
      </w:r>
      <w:r>
        <w:t xml:space="preserve">, 5, 352–356.</w:t>
      </w:r>
    </w:p>
    <w:bookmarkEnd w:id="269"/>
    <w:bookmarkStart w:id="270"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70"/>
    <w:bookmarkStart w:id="271"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71"/>
    <w:bookmarkStart w:id="272"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72"/>
    <w:bookmarkStart w:id="273"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73"/>
    <w:bookmarkStart w:id="274"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74"/>
    <w:bookmarkStart w:id="276" w:name="ref-dagg2016a"/>
    <w:p>
      <w:pPr>
        <w:pStyle w:val="Bibliography"/>
      </w:pPr>
      <w:r>
        <w:t xml:space="preserve">Dagg, J. (2016).</w:t>
      </w:r>
      <w:r>
        <w:t xml:space="preserve"> </w:t>
      </w:r>
      <w:hyperlink r:id="rId275">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76"/>
    <w:bookmarkStart w:id="277"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77"/>
    <w:bookmarkStart w:id="278"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78"/>
    <w:bookmarkStart w:id="280" w:name="ref-darwin1862a"/>
    <w:p>
      <w:pPr>
        <w:pStyle w:val="Bibliography"/>
      </w:pPr>
      <w:r>
        <w:t xml:space="preserve">Darwin, C. (1862).</w:t>
      </w:r>
      <w:r>
        <w:t xml:space="preserve"> </w:t>
      </w:r>
      <w:hyperlink r:id="rId279">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80"/>
    <w:bookmarkStart w:id="281"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81"/>
    <w:bookmarkStart w:id="283" w:name="ref-darwin1860a"/>
    <w:p>
      <w:pPr>
        <w:pStyle w:val="Bibliography"/>
      </w:pPr>
      <w:r>
        <w:t xml:space="preserve">Darwin, C. (n.d.).</w:t>
      </w:r>
      <w:r>
        <w:t xml:space="preserve"> </w:t>
      </w:r>
      <w:hyperlink r:id="rId282">
        <w:r>
          <w:rPr>
            <w:rStyle w:val="Hyperlink"/>
          </w:rPr>
          <w:t xml:space="preserve">Letter no. 2869</w:t>
        </w:r>
      </w:hyperlink>
      <w:r>
        <w:t xml:space="preserve">. Darwin Correspondence Project.</w:t>
      </w:r>
    </w:p>
    <w:bookmarkEnd w:id="283"/>
    <w:bookmarkStart w:id="284"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84"/>
    <w:bookmarkStart w:id="286" w:name="ref-gaino1999a"/>
    <w:p>
      <w:pPr>
        <w:pStyle w:val="Bibliography"/>
      </w:pPr>
      <w:r>
        <w:t xml:space="preserve">Elda Gaino, G.B. &amp; Magnino, G. (1999).</w:t>
      </w:r>
      <w:r>
        <w:t xml:space="preserve"> </w:t>
      </w:r>
      <w:hyperlink r:id="rId285">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86"/>
    <w:bookmarkStart w:id="287"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87"/>
    <w:bookmarkStart w:id="288"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88"/>
    <w:bookmarkStart w:id="289"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289"/>
    <w:bookmarkStart w:id="290"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290"/>
    <w:bookmarkStart w:id="291"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91"/>
    <w:bookmarkStart w:id="293" w:name="ref-galvani2003a"/>
    <w:p>
      <w:pPr>
        <w:pStyle w:val="Bibliography"/>
      </w:pPr>
      <w:r>
        <w:t xml:space="preserve">Galvani, A.P., Coleman, R.M. &amp; Ferguson, N.M. (2003).</w:t>
      </w:r>
      <w:r>
        <w:t xml:space="preserve"> </w:t>
      </w:r>
      <w:hyperlink r:id="rId292">
        <w:r>
          <w:rPr>
            <w:rStyle w:val="Hyperlink"/>
          </w:rPr>
          <w:t xml:space="preserve">The maintenance of sex in parasites</w:t>
        </w:r>
      </w:hyperlink>
      <w:r>
        <w:t xml:space="preserve">. In:</w:t>
      </w:r>
      <w:r>
        <w:t xml:space="preserve"> </w:t>
      </w:r>
      <w:r>
        <w:rPr>
          <w:iCs/>
          <w:i/>
        </w:rPr>
        <w:t xml:space="preserve">Proceedings. Biological sciences</w:t>
      </w:r>
      <w:r>
        <w:t xml:space="preserve">. pp. 19–28.</w:t>
      </w:r>
    </w:p>
    <w:bookmarkEnd w:id="293"/>
    <w:bookmarkStart w:id="294"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294"/>
    <w:bookmarkStart w:id="295"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295"/>
    <w:bookmarkStart w:id="296"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296"/>
    <w:bookmarkStart w:id="297"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297"/>
    <w:bookmarkStart w:id="298"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298"/>
    <w:bookmarkStart w:id="299"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299"/>
    <w:bookmarkStart w:id="300" w:name="ref-gould1991a"/>
    <w:p>
      <w:pPr>
        <w:pStyle w:val="Bibliography"/>
      </w:pPr>
      <w:r>
        <w:t xml:space="preserve">Gould, S.J. (1991). The smoking gun of eugenics.</w:t>
      </w:r>
      <w:r>
        <w:t xml:space="preserve"> </w:t>
      </w:r>
      <w:r>
        <w:rPr>
          <w:iCs/>
          <w:i/>
        </w:rPr>
        <w:t xml:space="preserve">Natural History</w:t>
      </w:r>
      <w:r>
        <w:t xml:space="preserve">, 100, 8–17.</w:t>
      </w:r>
    </w:p>
    <w:bookmarkEnd w:id="300"/>
    <w:bookmarkStart w:id="301" w:name="ref-haigh1978a"/>
    <w:p>
      <w:pPr>
        <w:pStyle w:val="Bibliography"/>
      </w:pPr>
      <w:r>
        <w:t xml:space="preserve">Haigh, J. (1978). The accumulation of deleterious genes in a population—muller’s ratchet.</w:t>
      </w:r>
      <w:r>
        <w:t xml:space="preserve"> </w:t>
      </w:r>
      <w:r>
        <w:rPr>
          <w:iCs/>
          <w:i/>
        </w:rPr>
        <w:t xml:space="preserve">Theoretical Population Biology</w:t>
      </w:r>
      <w:r>
        <w:t xml:space="preserve">, 14, 251–267.</w:t>
      </w:r>
    </w:p>
    <w:bookmarkEnd w:id="301"/>
    <w:bookmarkStart w:id="302"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02"/>
    <w:bookmarkStart w:id="303" w:name="ref-hamilton1980a"/>
    <w:p>
      <w:pPr>
        <w:pStyle w:val="Bibliography"/>
      </w:pPr>
      <w:r>
        <w:t xml:space="preserve">Hamilton, W.D. (1980). Sex versus non-sex versus parasite.</w:t>
      </w:r>
      <w:r>
        <w:t xml:space="preserve"> </w:t>
      </w:r>
      <w:r>
        <w:rPr>
          <w:iCs/>
          <w:i/>
        </w:rPr>
        <w:t xml:space="preserve">Oikos</w:t>
      </w:r>
      <w:r>
        <w:t xml:space="preserve">, 35, 282–290.</w:t>
      </w:r>
    </w:p>
    <w:bookmarkEnd w:id="303"/>
    <w:bookmarkStart w:id="304"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04"/>
    <w:bookmarkStart w:id="305"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05"/>
    <w:bookmarkStart w:id="306"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06"/>
    <w:bookmarkStart w:id="307"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07"/>
    <w:bookmarkStart w:id="308"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08"/>
    <w:bookmarkStart w:id="309"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09"/>
    <w:bookmarkStart w:id="310"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10"/>
    <w:bookmarkStart w:id="311"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11"/>
    <w:bookmarkStart w:id="312"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12"/>
    <w:bookmarkStart w:id="313"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13"/>
    <w:bookmarkStart w:id="314" w:name="ref-jajszczok2017a"/>
    <w:p>
      <w:pPr>
        <w:pStyle w:val="Bibliography"/>
      </w:pPr>
      <w:r>
        <w:t xml:space="preserve">Jajszczok, J. (2017). The parasite and parasitism in victorian science and literature. PhD thesis. Uniwersytet Śląski, Katowice.</w:t>
      </w:r>
    </w:p>
    <w:bookmarkEnd w:id="314"/>
    <w:bookmarkStart w:id="315"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15"/>
    <w:bookmarkStart w:id="316"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16"/>
    <w:bookmarkStart w:id="318" w:name="ref-kelley1993a"/>
    <w:p>
      <w:pPr>
        <w:pStyle w:val="Bibliography"/>
      </w:pPr>
      <w:r>
        <w:t xml:space="preserve">Kelley, S.E. (1993).</w:t>
      </w:r>
      <w:r>
        <w:t xml:space="preserve"> </w:t>
      </w:r>
      <w:hyperlink r:id="rId317">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18"/>
    <w:bookmarkStart w:id="320" w:name="ref-kelley1994a"/>
    <w:p>
      <w:pPr>
        <w:pStyle w:val="Bibliography"/>
      </w:pPr>
      <w:r>
        <w:t xml:space="preserve">Kelley, S.E. (1994).</w:t>
      </w:r>
      <w:r>
        <w:t xml:space="preserve"> </w:t>
      </w:r>
      <w:hyperlink r:id="rId319">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20"/>
    <w:bookmarkStart w:id="321"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21"/>
    <w:bookmarkStart w:id="322"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22"/>
    <w:bookmarkStart w:id="323"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23"/>
    <w:bookmarkStart w:id="324"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24"/>
    <w:bookmarkStart w:id="325"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25"/>
    <w:bookmarkStart w:id="327" w:name="ref-lawrence2009a"/>
    <w:p>
      <w:pPr>
        <w:pStyle w:val="Bibliography"/>
      </w:pPr>
      <w:r>
        <w:t xml:space="preserve">Lawrence, C.R. (2009).</w:t>
      </w:r>
      <w:r>
        <w:t xml:space="preserve"> </w:t>
      </w:r>
      <w:hyperlink r:id="rId326">
        <w:r>
          <w:rPr>
            <w:rStyle w:val="Hyperlink"/>
          </w:rPr>
          <w:t xml:space="preserve">Charles bonnet (1720-1793)</w:t>
        </w:r>
      </w:hyperlink>
      <w:r>
        <w:t xml:space="preserve">.</w:t>
      </w:r>
    </w:p>
    <w:bookmarkEnd w:id="327"/>
    <w:bookmarkStart w:id="328"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28"/>
    <w:bookmarkStart w:id="329" w:name="ref-lerner1954a"/>
    <w:p>
      <w:pPr>
        <w:pStyle w:val="Bibliography"/>
      </w:pPr>
      <w:r>
        <w:t xml:space="preserve">Lerner, I.M. (1954).</w:t>
      </w:r>
      <w:r>
        <w:t xml:space="preserve"> </w:t>
      </w:r>
      <w:r>
        <w:rPr>
          <w:iCs/>
          <w:i/>
        </w:rPr>
        <w:t xml:space="preserve">Genetic homeostasis</w:t>
      </w:r>
      <w:r>
        <w:t xml:space="preserve">. John Wiley; Sons, Inc, New York.</w:t>
      </w:r>
    </w:p>
    <w:bookmarkEnd w:id="329"/>
    <w:bookmarkStart w:id="330"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30"/>
    <w:bookmarkStart w:id="331"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31"/>
    <w:bookmarkStart w:id="332"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32"/>
    <w:bookmarkStart w:id="333"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33"/>
    <w:bookmarkStart w:id="335" w:name="ref-levri2000a"/>
    <w:p>
      <w:pPr>
        <w:pStyle w:val="Bibliography"/>
      </w:pPr>
      <w:r>
        <w:t xml:space="preserve">Levri, E.P. &amp; Fisher, L.M. (2000).</w:t>
      </w:r>
      <w:r>
        <w:t xml:space="preserve"> </w:t>
      </w:r>
      <w:hyperlink r:id="rId334">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35"/>
    <w:bookmarkStart w:id="336"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36"/>
    <w:bookmarkStart w:id="338" w:name="ref-lewontin1971a"/>
    <w:p>
      <w:pPr>
        <w:pStyle w:val="Bibliography"/>
      </w:pPr>
      <w:r>
        <w:t xml:space="preserve">Lewontin, R.C. (1971).</w:t>
      </w:r>
      <w:r>
        <w:t xml:space="preserve"> </w:t>
      </w:r>
      <w:hyperlink r:id="rId337">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38"/>
    <w:bookmarkStart w:id="339"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39"/>
    <w:bookmarkStart w:id="340"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40"/>
    <w:bookmarkStart w:id="342" w:name="ref-lively1986c"/>
    <w:p>
      <w:pPr>
        <w:pStyle w:val="Bibliography"/>
      </w:pPr>
      <w:r>
        <w:t xml:space="preserve">Lively, C.M. (1986c).</w:t>
      </w:r>
      <w:r>
        <w:t xml:space="preserve"> </w:t>
      </w:r>
      <w:hyperlink r:id="rId341">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42"/>
    <w:bookmarkStart w:id="343"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43"/>
    <w:bookmarkStart w:id="344"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44"/>
    <w:bookmarkStart w:id="345"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45"/>
    <w:bookmarkStart w:id="346" w:name="ref-lively1996a"/>
    <w:p>
      <w:pPr>
        <w:pStyle w:val="Bibliography"/>
      </w:pPr>
      <w:r>
        <w:t xml:space="preserve">Lively, C.M. (1996). Host-parasite coevolution and sex.</w:t>
      </w:r>
      <w:r>
        <w:t xml:space="preserve"> </w:t>
      </w:r>
      <w:r>
        <w:rPr>
          <w:iCs/>
          <w:i/>
        </w:rPr>
        <w:t xml:space="preserve">Bioscience</w:t>
      </w:r>
      <w:r>
        <w:t xml:space="preserve">, 46, 107–109.</w:t>
      </w:r>
    </w:p>
    <w:bookmarkEnd w:id="346"/>
    <w:bookmarkStart w:id="347"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47"/>
    <w:bookmarkStart w:id="349" w:name="ref-lively1999a"/>
    <w:p>
      <w:pPr>
        <w:pStyle w:val="Bibliography"/>
      </w:pPr>
      <w:r>
        <w:t xml:space="preserve">Lively, C.M. (1999b).</w:t>
      </w:r>
      <w:r>
        <w:t xml:space="preserve"> </w:t>
      </w:r>
      <w:hyperlink r:id="rId348">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49"/>
    <w:bookmarkStart w:id="350"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50"/>
    <w:bookmarkStart w:id="351" w:name="ref-lively2006a"/>
    <w:p>
      <w:pPr>
        <w:pStyle w:val="Bibliography"/>
      </w:pPr>
      <w:r>
        <w:t xml:space="preserve">Lively, C.M. (2006). The ecology of virulence.</w:t>
      </w:r>
      <w:r>
        <w:t xml:space="preserve"> </w:t>
      </w:r>
      <w:r>
        <w:rPr>
          <w:iCs/>
          <w:i/>
        </w:rPr>
        <w:t xml:space="preserve">Ecology Letters</w:t>
      </w:r>
      <w:r>
        <w:t xml:space="preserve">, 9, 1089–1095.</w:t>
      </w:r>
    </w:p>
    <w:bookmarkEnd w:id="351"/>
    <w:bookmarkStart w:id="352"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52"/>
    <w:bookmarkStart w:id="353"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53"/>
    <w:bookmarkStart w:id="354" w:name="ref-lively1990a"/>
    <w:p>
      <w:pPr>
        <w:pStyle w:val="Bibliography"/>
      </w:pPr>
      <w:r>
        <w:t xml:space="preserve">Lively, C.M., Craddock, C. &amp; Vrijenhoek, R.C. (1990). Red queen hypothesis supported by parasitism in sexual and clonal fish.</w:t>
      </w:r>
      <w:r>
        <w:t xml:space="preserve"> </w:t>
      </w:r>
      <w:r>
        <w:rPr>
          <w:iCs/>
          <w:i/>
        </w:rPr>
        <w:t xml:space="preserve">Nature</w:t>
      </w:r>
      <w:r>
        <w:t xml:space="preserve">, 344, 864–866.</w:t>
      </w:r>
    </w:p>
    <w:bookmarkEnd w:id="354"/>
    <w:bookmarkStart w:id="355"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55"/>
    <w:bookmarkStart w:id="356"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56"/>
    <w:bookmarkStart w:id="358" w:name="ref-lively1994a"/>
    <w:p>
      <w:pPr>
        <w:pStyle w:val="Bibliography"/>
      </w:pPr>
      <w:r>
        <w:t xml:space="preserve">Lively, C.M. &amp; Howard, R.S. (1994).</w:t>
      </w:r>
      <w:r>
        <w:t xml:space="preserve"> </w:t>
      </w:r>
      <w:hyperlink r:id="rId357">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58"/>
    <w:bookmarkStart w:id="360" w:name="ref-lively1994b"/>
    <w:p>
      <w:pPr>
        <w:pStyle w:val="Bibliography"/>
      </w:pPr>
      <w:r>
        <w:t xml:space="preserve">Lively, C.M. &amp; Johnson, S.G. (1994).</w:t>
      </w:r>
      <w:r>
        <w:t xml:space="preserve"> </w:t>
      </w:r>
      <w:hyperlink r:id="rId359">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60"/>
    <w:bookmarkStart w:id="362" w:name="ref-lively1995a"/>
    <w:p>
      <w:pPr>
        <w:pStyle w:val="Bibliography"/>
      </w:pPr>
      <w:r>
        <w:t xml:space="preserve">Lively, C.M., Johnson, S.G., Delph, L.F. &amp; Clay, K. (1995).</w:t>
      </w:r>
      <w:r>
        <w:t xml:space="preserve"> </w:t>
      </w:r>
      <w:hyperlink r:id="rId361">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62"/>
    <w:bookmarkStart w:id="363"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63"/>
    <w:bookmarkStart w:id="364"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64"/>
    <w:bookmarkStart w:id="366" w:name="ref-lively2022a"/>
    <w:p>
      <w:pPr>
        <w:pStyle w:val="Bibliography"/>
      </w:pPr>
      <w:r>
        <w:t xml:space="preserve">Lively, C.M. &amp; Wade, M.J. (2022).</w:t>
      </w:r>
      <w:r>
        <w:t xml:space="preserve"> </w:t>
      </w:r>
      <w:hyperlink r:id="rId365">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66"/>
    <w:bookmarkStart w:id="368" w:name="ref-lively2021a"/>
    <w:p>
      <w:pPr>
        <w:pStyle w:val="Bibliography"/>
      </w:pPr>
      <w:r>
        <w:t xml:space="preserve">Lively, C.M., Xu, J. &amp; Ben-Ami, F. (2021).</w:t>
      </w:r>
      <w:r>
        <w:t xml:space="preserve"> </w:t>
      </w:r>
      <w:hyperlink r:id="rId367">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68"/>
    <w:bookmarkStart w:id="369"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69"/>
    <w:bookmarkStart w:id="370"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70"/>
    <w:bookmarkStart w:id="371"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71"/>
    <w:bookmarkStart w:id="373" w:name="ref-lythgoe2000a"/>
    <w:p>
      <w:pPr>
        <w:pStyle w:val="Bibliography"/>
      </w:pPr>
      <w:r>
        <w:t xml:space="preserve">Lythgoe, K.A. (2000).</w:t>
      </w:r>
      <w:r>
        <w:t xml:space="preserve"> </w:t>
      </w:r>
      <w:hyperlink r:id="rId372">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w:t>
      </w:r>
    </w:p>
    <w:bookmarkEnd w:id="373"/>
    <w:bookmarkStart w:id="374"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74"/>
    <w:bookmarkStart w:id="376" w:name="ref-may1983a"/>
    <w:p>
      <w:pPr>
        <w:pStyle w:val="Bibliography"/>
      </w:pPr>
      <w:r>
        <w:t xml:space="preserve">May, R.M. &amp; Anderson, R.M. (1983).</w:t>
      </w:r>
      <w:r>
        <w:t xml:space="preserve"> </w:t>
      </w:r>
      <w:hyperlink r:id="rId375">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76"/>
    <w:bookmarkStart w:id="377"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77"/>
    <w:bookmarkStart w:id="378"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78"/>
    <w:bookmarkStart w:id="379" w:name="ref-maynard1978a"/>
    <w:p>
      <w:pPr>
        <w:pStyle w:val="Bibliography"/>
      </w:pPr>
      <w:r>
        <w:t xml:space="preserve">Maynard Smith, J. (1978).</w:t>
      </w:r>
      <w:r>
        <w:t xml:space="preserve"> </w:t>
      </w:r>
      <w:r>
        <w:rPr>
          <w:iCs/>
          <w:i/>
        </w:rPr>
        <w:t xml:space="preserve">The evolution of sex</w:t>
      </w:r>
      <w:r>
        <w:t xml:space="preserve">. Cambridge University Press.</w:t>
      </w:r>
    </w:p>
    <w:bookmarkEnd w:id="379"/>
    <w:bookmarkStart w:id="381" w:name="ref-maynard1980a"/>
    <w:p>
      <w:pPr>
        <w:pStyle w:val="Bibliography"/>
      </w:pPr>
      <w:r>
        <w:t xml:space="preserve">Maynard Smith, J. &amp; Hoekstra, R. (1980).</w:t>
      </w:r>
      <w:r>
        <w:t xml:space="preserve"> </w:t>
      </w:r>
      <w:hyperlink r:id="rId380">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81"/>
    <w:bookmarkStart w:id="382"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82"/>
    <w:bookmarkStart w:id="383"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83"/>
    <w:bookmarkStart w:id="384" w:name="ref-moore1971a"/>
    <w:p>
      <w:pPr>
        <w:pStyle w:val="Bibliography"/>
      </w:pPr>
      <w:r>
        <w:t xml:space="preserve">Moore, W.S. &amp; McKay, F.E. (1971). Coexistence in unisexual-bisexual species complexes of poeciliopsis (pisces: poeciliidae).</w:t>
      </w:r>
      <w:r>
        <w:t xml:space="preserve"> </w:t>
      </w:r>
      <w:r>
        <w:rPr>
          <w:iCs/>
          <w:i/>
        </w:rPr>
        <w:t xml:space="preserve">Ecology</w:t>
      </w:r>
      <w:r>
        <w:t xml:space="preserve">, 52, 791–799.</w:t>
      </w:r>
    </w:p>
    <w:bookmarkEnd w:id="384"/>
    <w:bookmarkStart w:id="385"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385"/>
    <w:bookmarkStart w:id="386"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86"/>
    <w:bookmarkStart w:id="387"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 new zealand snail.</w:t>
      </w:r>
      <w:r>
        <w:t xml:space="preserve"> </w:t>
      </w:r>
      <w:r>
        <w:rPr>
          <w:iCs/>
          <w:i/>
        </w:rPr>
        <w:t xml:space="preserve">Evolution</w:t>
      </w:r>
      <w:r>
        <w:t xml:space="preserve">, 59, 1945–1952.</w:t>
      </w:r>
    </w:p>
    <w:bookmarkEnd w:id="387"/>
    <w:bookmarkStart w:id="388" w:name="ref-oka1970a"/>
    <w:p>
      <w:pPr>
        <w:pStyle w:val="Bibliography"/>
      </w:pPr>
      <w:r>
        <w:t xml:space="preserve">Oka, H. (1970). Colony specificity in compound ascidians: The genetic control of fusibility. In:</w:t>
      </w:r>
      <w:r>
        <w:t xml:space="preserve"> </w:t>
      </w:r>
      <w:r>
        <w:rPr>
          <w:iCs/>
          <w:i/>
        </w:rPr>
        <w:t xml:space="preserve">Profiles of japanese science and scientists</w:t>
      </w:r>
      <w:r>
        <w:t xml:space="preserve"> </w:t>
      </w:r>
      <w:r>
        <w:t xml:space="preserve">(ed. Yukawa, H.). Kodansha, Tokyo, pp. 196–206.</w:t>
      </w:r>
    </w:p>
    <w:bookmarkEnd w:id="388"/>
    <w:bookmarkStart w:id="389"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89"/>
    <w:bookmarkStart w:id="390"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90"/>
    <w:bookmarkStart w:id="391"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91"/>
    <w:bookmarkStart w:id="392"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392"/>
    <w:bookmarkStart w:id="393"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393"/>
    <w:bookmarkStart w:id="395" w:name="ref-phillips1990a"/>
    <w:p>
      <w:pPr>
        <w:pStyle w:val="Bibliography"/>
      </w:pPr>
      <w:r>
        <w:t xml:space="preserve">Phillips, N.R. &amp; Lambert, D.M. (1990).</w:t>
      </w:r>
      <w:r>
        <w:t xml:space="preserve"> </w:t>
      </w:r>
      <w:hyperlink r:id="rId394">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395"/>
    <w:bookmarkStart w:id="396" w:name="ref-platt1964a"/>
    <w:p>
      <w:pPr>
        <w:pStyle w:val="Bibliography"/>
      </w:pPr>
      <w:r>
        <w:t xml:space="preserve">Platt, J.R. (1964). Strong inference.</w:t>
      </w:r>
      <w:r>
        <w:t xml:space="preserve"> </w:t>
      </w:r>
      <w:r>
        <w:rPr>
          <w:iCs/>
          <w:i/>
        </w:rPr>
        <w:t xml:space="preserve">Science</w:t>
      </w:r>
      <w:r>
        <w:t xml:space="preserve">, 146, 347–353.</w:t>
      </w:r>
    </w:p>
    <w:bookmarkEnd w:id="396"/>
    <w:bookmarkStart w:id="397"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397"/>
    <w:bookmarkStart w:id="398"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398"/>
    <w:bookmarkStart w:id="399"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399"/>
    <w:bookmarkStart w:id="400"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00"/>
    <w:bookmarkStart w:id="402" w:name="ref-Schenck1986a"/>
    <w:p>
      <w:pPr>
        <w:pStyle w:val="Bibliography"/>
      </w:pPr>
      <w:r>
        <w:t xml:space="preserve">Schenck, R.A. &amp; Vrijenhoek, R.C. (1986).</w:t>
      </w:r>
      <w:r>
        <w:t xml:space="preserve"> </w:t>
      </w:r>
      <w:hyperlink r:id="rId401">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02"/>
    <w:bookmarkStart w:id="403"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03"/>
    <w:bookmarkStart w:id="404" w:name="ref-schultz1969a"/>
    <w:p>
      <w:pPr>
        <w:pStyle w:val="Bibliography"/>
      </w:pPr>
      <w:r>
        <w:t xml:space="preserve">Schultz, R.J. (1969). Hybridization, unisexuality, and polyploidy in the teleost poeciliopsis (poeciliidae) and other vertebrates.</w:t>
      </w:r>
      <w:r>
        <w:t xml:space="preserve"> </w:t>
      </w:r>
      <w:r>
        <w:rPr>
          <w:iCs/>
          <w:i/>
        </w:rPr>
        <w:t xml:space="preserve">American Naturalist</w:t>
      </w:r>
      <w:r>
        <w:t xml:space="preserve">, 103, 605–619.</w:t>
      </w:r>
    </w:p>
    <w:bookmarkEnd w:id="404"/>
    <w:bookmarkStart w:id="405"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05"/>
    <w:bookmarkStart w:id="406" w:name="ref-smith2003a"/>
    <w:p>
      <w:pPr>
        <w:pStyle w:val="Bibliography"/>
      </w:pPr>
      <w:r>
        <w:t xml:space="preserve">Smith, S. (n.d.).</w:t>
      </w:r>
      <w:r>
        <w:t xml:space="preserve"> </w:t>
      </w:r>
      <w:hyperlink r:id="rId92">
        <w:r>
          <w:rPr>
            <w:rStyle w:val="Hyperlink"/>
          </w:rPr>
          <w:t xml:space="preserve">The mathematician</w:t>
        </w:r>
        <w:r>
          <w:rPr>
            <w:rStyle w:val="Hyperlink"/>
          </w:rPr>
          <w:t xml:space="preserve"> </w:t>
        </w:r>
        <w:r>
          <w:rPr>
            <w:rStyle w:val="Hyperlink"/>
          </w:rPr>
          <w:t xml:space="preserve">Lewis Carroll</w:t>
        </w:r>
      </w:hyperlink>
      <w:r>
        <w:t xml:space="preserve">.</w:t>
      </w:r>
    </w:p>
    <w:bookmarkEnd w:id="406"/>
    <w:bookmarkStart w:id="407" w:name="ref-sobels1964a"/>
    <w:p>
      <w:pPr>
        <w:pStyle w:val="Bibliography"/>
      </w:pPr>
      <w:r>
        <w:t xml:space="preserve">Sobels, F.H. (1964). Preface.</w:t>
      </w:r>
      <w:r>
        <w:t xml:space="preserve"> </w:t>
      </w:r>
      <w:r>
        <w:rPr>
          <w:iCs/>
          <w:i/>
        </w:rPr>
        <w:t xml:space="preserve">Mutation Research</w:t>
      </w:r>
      <w:r>
        <w:t xml:space="preserve">, 1, 1.</w:t>
      </w:r>
    </w:p>
    <w:bookmarkEnd w:id="407"/>
    <w:bookmarkStart w:id="408"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08"/>
    <w:bookmarkStart w:id="409"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09"/>
    <w:bookmarkStart w:id="410"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10"/>
    <w:bookmarkStart w:id="411"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11"/>
    <w:bookmarkStart w:id="412" w:name="ref-valen1973a"/>
    <w:p>
      <w:pPr>
        <w:pStyle w:val="Bibliography"/>
      </w:pPr>
      <w:r>
        <w:t xml:space="preserve">Valen, L. van. (1973). A new evolutionary law.</w:t>
      </w:r>
      <w:r>
        <w:t xml:space="preserve"> </w:t>
      </w:r>
      <w:r>
        <w:rPr>
          <w:iCs/>
          <w:i/>
        </w:rPr>
        <w:t xml:space="preserve">Evolutionary Theory</w:t>
      </w:r>
      <w:r>
        <w:t xml:space="preserve">, 1, 1–30.</w:t>
      </w:r>
    </w:p>
    <w:bookmarkEnd w:id="412"/>
    <w:bookmarkStart w:id="413"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13"/>
    <w:bookmarkStart w:id="414"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14"/>
    <w:bookmarkStart w:id="415"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15"/>
    <w:bookmarkStart w:id="416"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16"/>
    <w:bookmarkStart w:id="417"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17"/>
    <w:bookmarkStart w:id="418" w:name="ref-wallace1975a"/>
    <w:p>
      <w:pPr>
        <w:pStyle w:val="Bibliography"/>
      </w:pPr>
      <w:r>
        <w:t xml:space="preserve">Wallace, B. (1975). Hard and soft selection revisited.</w:t>
      </w:r>
      <w:r>
        <w:t xml:space="preserve"> </w:t>
      </w:r>
      <w:r>
        <w:rPr>
          <w:iCs/>
          <w:i/>
        </w:rPr>
        <w:t xml:space="preserve">Evolution</w:t>
      </w:r>
      <w:r>
        <w:t xml:space="preserve">, 29, 465–473.</w:t>
      </w:r>
    </w:p>
    <w:bookmarkEnd w:id="418"/>
    <w:bookmarkStart w:id="420" w:name="ref-weeks1996a"/>
    <w:p>
      <w:pPr>
        <w:pStyle w:val="Bibliography"/>
      </w:pPr>
      <w:r>
        <w:t xml:space="preserve">Weeks, S.C. (1996).</w:t>
      </w:r>
      <w:r>
        <w:t xml:space="preserve"> </w:t>
      </w:r>
      <w:hyperlink r:id="rId419">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20"/>
    <w:bookmarkStart w:id="421"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21"/>
    <w:bookmarkStart w:id="422"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22"/>
    <w:bookmarkStart w:id="423" w:name="ref-williams1975a"/>
    <w:p>
      <w:pPr>
        <w:pStyle w:val="Bibliography"/>
      </w:pPr>
      <w:r>
        <w:t xml:space="preserve">Williams, G.C. (1975).</w:t>
      </w:r>
      <w:r>
        <w:t xml:space="preserve"> </w:t>
      </w:r>
      <w:r>
        <w:rPr>
          <w:iCs/>
          <w:i/>
        </w:rPr>
        <w:t xml:space="preserve">Sex and evolution</w:t>
      </w:r>
      <w:r>
        <w:t xml:space="preserve">. Princeton University Press.</w:t>
      </w:r>
    </w:p>
    <w:bookmarkEnd w:id="423"/>
    <w:bookmarkStart w:id="424"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24"/>
    <w:bookmarkStart w:id="425" w:name="ref-winterbourn1973a"/>
    <w:p>
      <w:pPr>
        <w:pStyle w:val="Bibliography"/>
      </w:pPr>
      <w:r>
        <w:t xml:space="preserve">Winterbourn, M.J. (1973). Larval trematoda 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25"/>
    <w:bookmarkStart w:id="426"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26"/>
    <w:bookmarkEnd w:id="427"/>
    <w:bookmarkEnd w:id="428"/>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(1975)</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 Dagg 2016.)</w:t>
      </w:r>
    </w:p>
  </w:footnote>
  <w:footnote w:id="39">
    <w:p>
      <w:pPr>
        <w:pStyle w:val="FootnoteText"/>
      </w:pPr>
      <w:r>
        <w:rPr>
          <w:rStyle w:val="FootnoteReference"/>
        </w:rPr>
        <w:footnoteRef/>
      </w:r>
      <w:r>
        <w:t xml:space="preserve"> </w:t>
      </w:r>
      <w:r>
        <w:t xml:space="preserve">Asexuals are often polyploid versions of their sexual ancestors.</w:t>
      </w:r>
    </w:p>
  </w:footnote>
  <w:footnote w:id="48">
    <w:p>
      <w:pPr>
        <w:pStyle w:val="FootnoteText"/>
      </w:pPr>
      <w:r>
        <w:rPr>
          <w:rStyle w:val="FootnoteReference"/>
        </w:rPr>
        <w:footnoteRef/>
      </w:r>
      <w:r>
        <w:t xml:space="preserve"> </w:t>
      </w:r>
      <w:r>
        <w:t xml:space="preserve">Lewontin</w:t>
      </w:r>
      <w:r>
        <w:t xml:space="preserve"> </w:t>
      </w:r>
      <w:r>
        <w:t xml:space="preserve">(1971)</w:t>
      </w:r>
      <w:r>
        <w:t xml:space="preserve"> </w:t>
      </w:r>
      <w:r>
        <w:t xml:space="preserve">was following up on Fisher’s</w:t>
      </w:r>
      <w:r>
        <w:t xml:space="preserve"> </w:t>
      </w:r>
      <w:r>
        <w:t xml:space="preserve">(1930)</w:t>
      </w:r>
      <w:r>
        <w:t xml:space="preserve"> </w:t>
      </w:r>
      <w:r>
        <w:t xml:space="preserve">verbal suggestion that selection should act to reduce recombination. For example, Lewontin</w:t>
      </w:r>
      <w:r>
        <w:t xml:space="preserve"> </w:t>
      </w:r>
      <w:r>
        <w:t xml:space="preserve">(1971)</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(1939)</w:t>
      </w:r>
      <w:r>
        <w:t xml:space="preserve">.</w:t>
      </w:r>
      <w:r>
        <w:t xml:space="preserve">”</w:t>
      </w:r>
      <w:r>
        <w:t xml:space="preserve"> </w:t>
      </w:r>
      <w:r>
        <w:t xml:space="preserve">(See also Bell 1982)</w:t>
      </w:r>
      <w:r>
        <w:t xml:space="preserve">.</w:t>
      </w:r>
    </w:p>
  </w:footnote>
  <w:footnote w:id="54">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 1859)</w:t>
      </w:r>
      <w:r>
        <w:t xml:space="preserve">.</w:t>
      </w:r>
    </w:p>
  </w:footnote>
  <w:footnote w:id="55">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 Lawrence 2009)</w:t>
      </w:r>
      <w:r>
        <w:t xml:space="preserve">.</w:t>
      </w:r>
    </w:p>
  </w:footnote>
  <w:footnote w:id="56">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57">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1">
    <w:p>
      <w:pPr>
        <w:pStyle w:val="FootnoteText"/>
      </w:pPr>
      <w:r>
        <w:rPr>
          <w:rStyle w:val="FootnoteReference"/>
        </w:rPr>
        <w:footnoteRef/>
      </w:r>
      <w:r>
        <w:t xml:space="preserve"> </w:t>
      </w:r>
      <w:r>
        <w:t xml:space="preserve">I use slightly different variable names, and I try to simplify JMS’s original model.</w:t>
      </w:r>
    </w:p>
  </w:footnote>
  <w:footnote w:id="68">
    <w:p>
      <w:pPr>
        <w:pStyle w:val="FootnoteText"/>
      </w:pPr>
      <w:r>
        <w:rPr>
          <w:rStyle w:val="FootnoteReference"/>
        </w:rPr>
        <w:footnoteRef/>
      </w:r>
      <w:r>
        <w:t xml:space="preserve"> </w:t>
      </w:r>
      <w:r>
        <w:t xml:space="preserve">See Bell</w:t>
      </w:r>
      <w:r>
        <w:t xml:space="preserve"> </w:t>
      </w:r>
      <w:r>
        <w:t xml:space="preserve">(1982)</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69">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0">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72">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 Cohen 1966)</w:t>
      </w:r>
      <w:r>
        <w:t xml:space="preserve"> </w:t>
      </w:r>
      <w:r>
        <w:t xml:space="preserve">and economists have borrowed from Bernoulli’s conceptual framework</w:t>
      </w:r>
      <w:r>
        <w:t xml:space="preserve"> </w:t>
      </w:r>
      <w:r>
        <w:t xml:space="preserve">(2000)</w:t>
      </w:r>
      <w:r>
        <w:t xml:space="preserve">.</w:t>
      </w:r>
    </w:p>
  </w:footnote>
  <w:footnote w:id="74">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(2009)</w:t>
      </w:r>
      <w:r>
        <w:t xml:space="preserve">:</w:t>
      </w:r>
      <w:r>
        <w:t xml:space="preserve"> </w:t>
      </w:r>
      <w:r>
        <w:t xml:space="preserve">“</w:t>
      </w:r>
      <w:r>
        <w:t xml:space="preserve">The Frozen Niche Variation Model</w:t>
      </w:r>
      <w:r>
        <w:t xml:space="preserve"> </w:t>
      </w:r>
      <w:r>
        <w:t xml:space="preserve">(Vrijenhoek 1978, 1979)</w:t>
      </w:r>
      <w:r>
        <w:t xml:space="preserve"> </w:t>
      </w:r>
      <w:r>
        <w:t xml:space="preserve">was directly stimulated by Roughgarden’s ideas</w:t>
      </w:r>
      <w:r>
        <w:t xml:space="preserve"> </w:t>
      </w:r>
      <w:r>
        <w:t xml:space="preserve">(1972)</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(Vrijenhoek 1978)</w:t>
      </w:r>
      <w:r>
        <w:t xml:space="preserve">.</w:t>
      </w:r>
      <w:r>
        <w:t xml:space="preserve">”</w:t>
      </w:r>
    </w:p>
  </w:footnote>
  <w:footnote w:id="75">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0">
    <w:p>
      <w:pPr>
        <w:pStyle w:val="FootnoteText"/>
      </w:pPr>
      <w:r>
        <w:rPr>
          <w:rStyle w:val="FootnoteReference"/>
        </w:rPr>
        <w:footnoteRef/>
      </w:r>
      <w:r>
        <w:t xml:space="preserve"> </w:t>
      </w:r>
      <w:r>
        <w:t xml:space="preserve">Wallace</w:t>
      </w:r>
      <w:r>
        <w:t xml:space="preserve"> </w:t>
      </w:r>
      <w:r>
        <w:t xml:space="preserve">(1975)</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82">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1">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(2017)</w:t>
      </w:r>
      <w:r>
        <w:t xml:space="preserve">.</w:t>
      </w:r>
    </w:p>
  </w:footnote>
  <w:footnote w:id="93">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 Lerner 1954)</w:t>
      </w:r>
      <w:r>
        <w:t xml:space="preserve">.</w:t>
      </w:r>
    </w:p>
  </w:footnote>
  <w:footnote w:id="95">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(1978)</w:t>
      </w:r>
      <w:r>
        <w:t xml:space="preserve">.</w:t>
      </w:r>
    </w:p>
  </w:footnote>
  <w:footnote w:id="96">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(1978)</w:t>
      </w:r>
      <w:r>
        <w:t xml:space="preserve">.</w:t>
      </w:r>
    </w:p>
  </w:footnote>
  <w:footnote w:id="97">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98">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99">
    <w:p>
      <w:pPr>
        <w:pStyle w:val="FootnoteText"/>
      </w:pPr>
      <w:r>
        <w:rPr>
          <w:rStyle w:val="FootnoteReference"/>
        </w:rPr>
        <w:footnoteRef/>
      </w:r>
      <w:r>
        <w:t xml:space="preserve"> </w:t>
      </w:r>
      <w:r>
        <w:t xml:space="preserve">The basic idea comes from a paper by Hill and Robertson</w:t>
      </w:r>
      <w:r>
        <w:t xml:space="preserve"> </w:t>
      </w:r>
      <w:r>
        <w:t xml:space="preserve">(1966)</w:t>
      </w:r>
      <w:r>
        <w:t xml:space="preserve"> </w:t>
      </w:r>
      <w:r>
        <w:t xml:space="preserve">and is often called the Hill-Robertson effect</w:t>
      </w:r>
      <w:r>
        <w:t xml:space="preserve"> </w:t>
      </w:r>
      <w:r>
        <w:t xml:space="preserve">(following Felsenstein 1974)</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(2021)</w:t>
      </w:r>
      <w:r>
        <w:t xml:space="preserve">.</w:t>
      </w:r>
    </w:p>
  </w:footnote>
  <w:footnote w:id="105">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14">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15">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(Hazel</w:t>
      </w:r>
      <w:r>
        <w:t xml:space="preserve"> </w:t>
      </w:r>
      <w:r>
        <w:rPr>
          <w:iCs/>
          <w:i/>
        </w:rPr>
        <w:t xml:space="preserve">et al.</w:t>
      </w:r>
      <w:r>
        <w:t xml:space="preserve"> </w:t>
      </w:r>
      <w:r>
        <w:t xml:space="preserve">2004; see also Lively</w:t>
      </w:r>
      <w:r>
        <w:t xml:space="preserve"> </w:t>
      </w:r>
      <w:r>
        <w:rPr>
          <w:iCs/>
          <w:i/>
        </w:rPr>
        <w:t xml:space="preserve">et al.</w:t>
      </w:r>
      <w:r>
        <w:t xml:space="preserve"> </w:t>
      </w:r>
      <w:r>
        <w:t xml:space="preserve">2000)</w:t>
      </w:r>
      <w:r>
        <w:t xml:space="preserve">.</w:t>
      </w:r>
    </w:p>
  </w:footnote>
  <w:footnote w:id="124">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25">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26">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27">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33">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36">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37">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38">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39">
    <w:p>
      <w:pPr>
        <w:pStyle w:val="FootnoteText"/>
      </w:pPr>
      <w:r>
        <w:rPr>
          <w:rStyle w:val="FootnoteReference"/>
        </w:rPr>
        <w:footnoteRef/>
      </w:r>
      <w:r>
        <w:t xml:space="preserve"> </w:t>
      </w:r>
      <w:r>
        <w:t xml:space="preserve">From Levins</w:t>
      </w:r>
      <w:r>
        <w:t xml:space="preserve"> </w:t>
      </w:r>
      <w:r>
        <w:t xml:space="preserve">(1966)</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0">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1">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0">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1">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2">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3">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56">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65">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82">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88">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199">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200">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209">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219">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220">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222">
    <w:p>
      <w:pPr>
        <w:pStyle w:val="FootnoteText"/>
      </w:pPr>
      <w:r>
        <w:rPr>
          <w:rStyle w:val="FootnoteReference"/>
        </w:rPr>
        <w:footnoteRef/>
      </w:r>
      <w:r>
        <w:t xml:space="preserve"> </w:t>
      </w:r>
      <w:r>
        <w:t xml:space="preserve">From Felsenstein</w:t>
      </w:r>
      <w:r>
        <w:t xml:space="preserve"> </w:t>
      </w:r>
      <w:r>
        <w:t xml:space="preserve">(1974)</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32">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237">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42">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43">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248">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0">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image" Id="rId50" Target="media/rId50.jpg" /><Relationship Type="http://schemas.openxmlformats.org/officeDocument/2006/relationships/image" Id="rId65" Target="media/rId65.jp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11" Target="media/rId111.jpg" /><Relationship Type="http://schemas.openxmlformats.org/officeDocument/2006/relationships/image" Id="rId116" Target="media/rId116.jpg" /><Relationship Type="http://schemas.openxmlformats.org/officeDocument/2006/relationships/image" Id="rId120" Target="media/rId120.jpg" /><Relationship Type="http://schemas.openxmlformats.org/officeDocument/2006/relationships/image" Id="rId128" Target="media/rId128.jp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7" Target="media/rId157.pn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9" Target="media/rId189.jpg" /><Relationship Type="http://schemas.openxmlformats.org/officeDocument/2006/relationships/image" Id="rId196" Target="media/rId196.jp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6" Target="media/rId216.jp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44" Target="media/rId244.png" /><Relationship Type="http://schemas.openxmlformats.org/officeDocument/2006/relationships/hyperlink" Id="rId92"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65" Target="https://doi.org/10.1002/ece3.9136" TargetMode="External" /><Relationship Type="http://schemas.openxmlformats.org/officeDocument/2006/relationships/hyperlink" Id="rId380" Target="https://doi.org/10.1017/S0016672300013926" TargetMode="External" /><Relationship Type="http://schemas.openxmlformats.org/officeDocument/2006/relationships/hyperlink" Id="rId265" Target="https://doi.org/10.1017/S0022149X19000993" TargetMode="External" /><Relationship Type="http://schemas.openxmlformats.org/officeDocument/2006/relationships/hyperlink" Id="rId337" Target="https://doi.org/10.1073/pnas.68.5.984" TargetMode="External" /><Relationship Type="http://schemas.openxmlformats.org/officeDocument/2006/relationships/hyperlink" Id="rId394" Target="https://doi.org/10.1080/03014223.1990.10422600" TargetMode="External" /><Relationship Type="http://schemas.openxmlformats.org/officeDocument/2006/relationships/hyperlink" Id="rId285" Target="https://doi.org/10.1080/11250009909356270" TargetMode="External" /><Relationship Type="http://schemas.openxmlformats.org/officeDocument/2006/relationships/hyperlink" Id="rId348" Target="https://doi.org/10.1086/303210" TargetMode="External" /><Relationship Type="http://schemas.openxmlformats.org/officeDocument/2006/relationships/hyperlink" Id="rId367" Target="https://doi.org/10.1098/rsbl.2021.0321" TargetMode="External" /><Relationship Type="http://schemas.openxmlformats.org/officeDocument/2006/relationships/hyperlink" Id="rId375" Target="https://doi.org/10.1098/rspb.1983.0075" TargetMode="External" /><Relationship Type="http://schemas.openxmlformats.org/officeDocument/2006/relationships/hyperlink" Id="rId359" Target="https://doi.org/10.1098/rspb.1994.0054" TargetMode="External" /><Relationship Type="http://schemas.openxmlformats.org/officeDocument/2006/relationships/hyperlink" Id="rId292" Target="https://doi.org/10.1098/rspb.2002.2182" TargetMode="External" /><Relationship Type="http://schemas.openxmlformats.org/officeDocument/2006/relationships/hyperlink" Id="rId357" Target="https://doi.org/10.1098/rstb.1994.0144" TargetMode="External" /><Relationship Type="http://schemas.openxmlformats.org/officeDocument/2006/relationships/hyperlink" Id="rId319" Target="https://doi.org/10.1098/rstb.1994.0146" TargetMode="External" /><Relationship Type="http://schemas.openxmlformats.org/officeDocument/2006/relationships/hyperlink" Id="rId372" Target="https://doi.org/10.1111/j.0014-3820.2000.tb00550.x" TargetMode="External" /><Relationship Type="http://schemas.openxmlformats.org/officeDocument/2006/relationships/hyperlink" Id="rId279" Target="https://doi.org/10.1111/j.1095-8312.1862.tb01218.x" TargetMode="External" /><Relationship Type="http://schemas.openxmlformats.org/officeDocument/2006/relationships/hyperlink" Id="rId317" Target="https://doi.org/10.1111/j.1442-1984.1993.tb00072.x" TargetMode="External" /><Relationship Type="http://schemas.openxmlformats.org/officeDocument/2006/relationships/hyperlink" Id="rId263" Target="https://doi.org/10.1111/j.1461-0248.2006.00905.x" TargetMode="External" /><Relationship Type="http://schemas.openxmlformats.org/officeDocument/2006/relationships/hyperlink" Id="rId341" Target="https://doi.org/10.1111/j.1558-5646.1986.tb00466.x" TargetMode="External" /><Relationship Type="http://schemas.openxmlformats.org/officeDocument/2006/relationships/hyperlink" Id="rId401" Target="https://doi.org/10.1111/j.1558-5646.1986.tb00573.x" TargetMode="External" /><Relationship Type="http://schemas.openxmlformats.org/officeDocument/2006/relationships/hyperlink" Id="rId419" Target="https://doi.org/10.1139/f96-041" TargetMode="External" /><Relationship Type="http://schemas.openxmlformats.org/officeDocument/2006/relationships/hyperlink" Id="rId334" Target="https://doi.org/10.1163/156853900502565" TargetMode="External" /><Relationship Type="http://schemas.openxmlformats.org/officeDocument/2006/relationships/hyperlink" Id="rId361" Target="https://doi.org/10.2307/1940718" TargetMode="External" /><Relationship Type="http://schemas.openxmlformats.org/officeDocument/2006/relationships/hyperlink" Id="rId275"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326" Target="https://hdl.handle.net/10776/1745" TargetMode="External" /><Relationship Type="http://schemas.openxmlformats.org/officeDocument/2006/relationships/hyperlink" Id="rId24" Target="https://libraries.indiana.edu/scholarly-communication" TargetMode="External" /><Relationship Type="http://schemas.openxmlformats.org/officeDocument/2006/relationships/hyperlink" Id="rId249" Target="https://onlinelibrary.wiley.com/toc/14209101/1999/12/6"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1" Target="https://www.bartzijlstra.com" TargetMode="External" /><Relationship Type="http://schemas.openxmlformats.org/officeDocument/2006/relationships/hyperlink" Id="rId282" Target="https://www.darwinproject.ac.uk/letter/?docId=letters/DCP-LETT-2869.xml" TargetMode="External" /><Relationship Type="http://schemas.openxmlformats.org/officeDocument/2006/relationships/hyperlink" Id="rId57" Target="https://www.merriam-webster.com/words-at-play/wonderful-word-history-evolution"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2"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65" Target="https://doi.org/10.1002/ece3.9136" TargetMode="External" /><Relationship Type="http://schemas.openxmlformats.org/officeDocument/2006/relationships/hyperlink" Id="rId380" Target="https://doi.org/10.1017/S0016672300013926" TargetMode="External" /><Relationship Type="http://schemas.openxmlformats.org/officeDocument/2006/relationships/hyperlink" Id="rId265" Target="https://doi.org/10.1017/S0022149X19000993" TargetMode="External" /><Relationship Type="http://schemas.openxmlformats.org/officeDocument/2006/relationships/hyperlink" Id="rId337" Target="https://doi.org/10.1073/pnas.68.5.984" TargetMode="External" /><Relationship Type="http://schemas.openxmlformats.org/officeDocument/2006/relationships/hyperlink" Id="rId394" Target="https://doi.org/10.1080/03014223.1990.10422600" TargetMode="External" /><Relationship Type="http://schemas.openxmlformats.org/officeDocument/2006/relationships/hyperlink" Id="rId285" Target="https://doi.org/10.1080/11250009909356270" TargetMode="External" /><Relationship Type="http://schemas.openxmlformats.org/officeDocument/2006/relationships/hyperlink" Id="rId348" Target="https://doi.org/10.1086/303210" TargetMode="External" /><Relationship Type="http://schemas.openxmlformats.org/officeDocument/2006/relationships/hyperlink" Id="rId367" Target="https://doi.org/10.1098/rsbl.2021.0321" TargetMode="External" /><Relationship Type="http://schemas.openxmlformats.org/officeDocument/2006/relationships/hyperlink" Id="rId375" Target="https://doi.org/10.1098/rspb.1983.0075" TargetMode="External" /><Relationship Type="http://schemas.openxmlformats.org/officeDocument/2006/relationships/hyperlink" Id="rId359" Target="https://doi.org/10.1098/rspb.1994.0054" TargetMode="External" /><Relationship Type="http://schemas.openxmlformats.org/officeDocument/2006/relationships/hyperlink" Id="rId292" Target="https://doi.org/10.1098/rspb.2002.2182" TargetMode="External" /><Relationship Type="http://schemas.openxmlformats.org/officeDocument/2006/relationships/hyperlink" Id="rId357" Target="https://doi.org/10.1098/rstb.1994.0144" TargetMode="External" /><Relationship Type="http://schemas.openxmlformats.org/officeDocument/2006/relationships/hyperlink" Id="rId319" Target="https://doi.org/10.1098/rstb.1994.0146" TargetMode="External" /><Relationship Type="http://schemas.openxmlformats.org/officeDocument/2006/relationships/hyperlink" Id="rId372" Target="https://doi.org/10.1111/j.0014-3820.2000.tb00550.x" TargetMode="External" /><Relationship Type="http://schemas.openxmlformats.org/officeDocument/2006/relationships/hyperlink" Id="rId279" Target="https://doi.org/10.1111/j.1095-8312.1862.tb01218.x" TargetMode="External" /><Relationship Type="http://schemas.openxmlformats.org/officeDocument/2006/relationships/hyperlink" Id="rId317" Target="https://doi.org/10.1111/j.1442-1984.1993.tb00072.x" TargetMode="External" /><Relationship Type="http://schemas.openxmlformats.org/officeDocument/2006/relationships/hyperlink" Id="rId263" Target="https://doi.org/10.1111/j.1461-0248.2006.00905.x" TargetMode="External" /><Relationship Type="http://schemas.openxmlformats.org/officeDocument/2006/relationships/hyperlink" Id="rId341" Target="https://doi.org/10.1111/j.1558-5646.1986.tb00466.x" TargetMode="External" /><Relationship Type="http://schemas.openxmlformats.org/officeDocument/2006/relationships/hyperlink" Id="rId401" Target="https://doi.org/10.1111/j.1558-5646.1986.tb00573.x" TargetMode="External" /><Relationship Type="http://schemas.openxmlformats.org/officeDocument/2006/relationships/hyperlink" Id="rId419" Target="https://doi.org/10.1139/f96-041" TargetMode="External" /><Relationship Type="http://schemas.openxmlformats.org/officeDocument/2006/relationships/hyperlink" Id="rId334" Target="https://doi.org/10.1163/156853900502565" TargetMode="External" /><Relationship Type="http://schemas.openxmlformats.org/officeDocument/2006/relationships/hyperlink" Id="rId361" Target="https://doi.org/10.2307/1940718" TargetMode="External" /><Relationship Type="http://schemas.openxmlformats.org/officeDocument/2006/relationships/hyperlink" Id="rId275"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326" Target="https://hdl.handle.net/10776/1745" TargetMode="External" /><Relationship Type="http://schemas.openxmlformats.org/officeDocument/2006/relationships/hyperlink" Id="rId24" Target="https://libraries.indiana.edu/scholarly-communication" TargetMode="External" /><Relationship Type="http://schemas.openxmlformats.org/officeDocument/2006/relationships/hyperlink" Id="rId249" Target="https://onlinelibrary.wiley.com/toc/14209101/1999/12/6"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1" Target="https://www.bartzijlstra.com" TargetMode="External" /><Relationship Type="http://schemas.openxmlformats.org/officeDocument/2006/relationships/hyperlink" Id="rId282" Target="https://www.darwinproject.ac.uk/letter/?docId=letters/DCP-LETT-2869.xml" TargetMode="External" /><Relationship Type="http://schemas.openxmlformats.org/officeDocument/2006/relationships/hyperlink" Id="rId57" Target="https://www.merriam-webster.com/words-at-play/wonderful-word-history-evolution"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2023-12-13T20:43:36Z</dcterms:created>
  <dcterms:modified xsi:type="dcterms:W3CDTF">2023-12-13T20:43:36Z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13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